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86" w:rsidRDefault="003663E0" w:rsidP="00E1365C">
      <w:pPr>
        <w:pBdr>
          <w:top w:val="single" w:sz="4" w:space="0" w:color="auto"/>
          <w:left w:val="single" w:sz="4" w:space="4" w:color="auto"/>
          <w:bottom w:val="single" w:sz="4" w:space="1" w:color="auto"/>
          <w:right w:val="single" w:sz="4" w:space="4" w:color="auto"/>
        </w:pBdr>
        <w:jc w:val="center"/>
        <w:rPr>
          <w:b/>
        </w:rPr>
      </w:pPr>
      <w:r>
        <w:rPr>
          <w:b/>
        </w:rPr>
        <w:t xml:space="preserve">NOTICE </w:t>
      </w:r>
      <w:r w:rsidRPr="00E556AA">
        <w:rPr>
          <w:b/>
        </w:rPr>
        <w:t>EXPLICATIVE CERFA n°</w:t>
      </w:r>
      <w:r w:rsidR="00E556AA" w:rsidRPr="00E556AA">
        <w:rPr>
          <w:b/>
        </w:rPr>
        <w:t>1578</w:t>
      </w:r>
      <w:r w:rsidR="00CE6EAB">
        <w:rPr>
          <w:b/>
        </w:rPr>
        <w:t>2</w:t>
      </w:r>
      <w:r w:rsidRPr="00E556AA">
        <w:rPr>
          <w:b/>
        </w:rPr>
        <w:t>*0</w:t>
      </w:r>
      <w:r w:rsidR="00E556AA" w:rsidRPr="00E556AA">
        <w:rPr>
          <w:b/>
        </w:rPr>
        <w:t>2</w:t>
      </w:r>
      <w:r w:rsidR="00EC5469" w:rsidRPr="00E556AA">
        <w:rPr>
          <w:b/>
        </w:rPr>
        <w:t xml:space="preserve"> et n°</w:t>
      </w:r>
      <w:r w:rsidR="00E556AA" w:rsidRPr="00E556AA">
        <w:rPr>
          <w:b/>
        </w:rPr>
        <w:t>15783</w:t>
      </w:r>
      <w:r w:rsidR="00EC5469" w:rsidRPr="00E556AA">
        <w:rPr>
          <w:b/>
        </w:rPr>
        <w:t>*0</w:t>
      </w:r>
      <w:r w:rsidR="00E556AA" w:rsidRPr="00E556AA">
        <w:rPr>
          <w:b/>
        </w:rPr>
        <w:t>3</w:t>
      </w:r>
    </w:p>
    <w:p w:rsidR="0058181E" w:rsidRDefault="0058181E" w:rsidP="00EC41A9">
      <w:pPr>
        <w:spacing w:after="0" w:line="240" w:lineRule="auto"/>
      </w:pPr>
    </w:p>
    <w:p w:rsidR="00765AFF" w:rsidRDefault="00CD30D7" w:rsidP="007C3CC6">
      <w:pPr>
        <w:spacing w:after="0" w:line="240" w:lineRule="auto"/>
        <w:jc w:val="both"/>
      </w:pPr>
      <w:r w:rsidRPr="00C64F2C">
        <w:t xml:space="preserve">L’autorisation ne s’applique pas à la détention de matériel de </w:t>
      </w:r>
      <w:r w:rsidR="00C64F2C" w:rsidRPr="00C64F2C">
        <w:t>guerre telle que défini</w:t>
      </w:r>
      <w:r w:rsidR="00C64F2C">
        <w:t xml:space="preserve">e aux </w:t>
      </w:r>
      <w:r w:rsidR="00C64F2C" w:rsidRPr="00C64F2C">
        <w:t>article</w:t>
      </w:r>
      <w:r w:rsidR="00C64F2C">
        <w:t>s</w:t>
      </w:r>
      <w:r w:rsidR="00C64F2C" w:rsidRPr="00C64F2C">
        <w:t xml:space="preserve"> R312-2 et suivant</w:t>
      </w:r>
      <w:r w:rsidR="00C64F2C">
        <w:t>s</w:t>
      </w:r>
      <w:r w:rsidR="00C64F2C" w:rsidRPr="00C64F2C">
        <w:t xml:space="preserve"> du code de sécurité intérieure</w:t>
      </w:r>
      <w:r>
        <w:t xml:space="preserve"> (</w:t>
      </w:r>
      <w:r w:rsidR="00C64F2C">
        <w:t xml:space="preserve">dans le cas notamment des </w:t>
      </w:r>
      <w:r>
        <w:t xml:space="preserve">essais industriels et </w:t>
      </w:r>
      <w:r w:rsidR="00C64F2C">
        <w:t>d</w:t>
      </w:r>
      <w:r>
        <w:t xml:space="preserve">es musées ou collectionneurs). </w:t>
      </w:r>
    </w:p>
    <w:p w:rsidR="00CD30D7" w:rsidRDefault="00CD30D7" w:rsidP="007C3CC6">
      <w:pPr>
        <w:spacing w:after="0" w:line="240" w:lineRule="auto"/>
        <w:jc w:val="both"/>
      </w:pPr>
    </w:p>
    <w:p w:rsidR="00CD30D7" w:rsidRDefault="00EC5469" w:rsidP="007C3CC6">
      <w:pPr>
        <w:spacing w:after="0" w:line="240" w:lineRule="auto"/>
        <w:jc w:val="both"/>
        <w:rPr>
          <w:b/>
          <w:u w:val="single"/>
        </w:rPr>
      </w:pPr>
      <w:r>
        <w:rPr>
          <w:b/>
          <w:u w:val="single"/>
        </w:rPr>
        <w:t>Première d</w:t>
      </w:r>
      <w:r w:rsidR="00CD30D7" w:rsidRPr="00CD30D7">
        <w:rPr>
          <w:b/>
          <w:u w:val="single"/>
        </w:rPr>
        <w:t>emande, Renouvellement, Modification :</w:t>
      </w:r>
    </w:p>
    <w:p w:rsidR="00CD30D7" w:rsidRDefault="00EC5469" w:rsidP="007C3CC6">
      <w:pPr>
        <w:spacing w:after="0" w:line="240" w:lineRule="auto"/>
        <w:jc w:val="both"/>
      </w:pPr>
      <w:r w:rsidRPr="00EC5469">
        <w:rPr>
          <w:u w:val="single"/>
        </w:rPr>
        <w:t>Première demande</w:t>
      </w:r>
      <w:r>
        <w:t> : lorsque le demandeur n’a jamais eu d’autorisation</w:t>
      </w:r>
      <w:r w:rsidR="006762A7">
        <w:t xml:space="preserve"> délivrée par le Ministère des Armées</w:t>
      </w:r>
      <w:r>
        <w:t>.</w:t>
      </w:r>
    </w:p>
    <w:p w:rsidR="00EC5469" w:rsidRDefault="00EC5469" w:rsidP="007C3CC6">
      <w:pPr>
        <w:spacing w:after="0" w:line="240" w:lineRule="auto"/>
        <w:jc w:val="both"/>
      </w:pPr>
      <w:r w:rsidRPr="00EC5469">
        <w:rPr>
          <w:u w:val="single"/>
        </w:rPr>
        <w:t>Renouvellement </w:t>
      </w:r>
      <w:r>
        <w:t xml:space="preserve">: lorsque l’autorisation du demandeur arrive à échéance ou est caduque.   </w:t>
      </w:r>
    </w:p>
    <w:p w:rsidR="00EC5469" w:rsidRDefault="00EC5469" w:rsidP="007C3CC6">
      <w:pPr>
        <w:spacing w:after="0" w:line="240" w:lineRule="auto"/>
        <w:jc w:val="both"/>
        <w:rPr>
          <w:rFonts w:cs="Times New Roman"/>
          <w:color w:val="000000" w:themeColor="text1"/>
        </w:rPr>
      </w:pPr>
      <w:r w:rsidRPr="00EC5469">
        <w:rPr>
          <w:u w:val="single"/>
        </w:rPr>
        <w:t>Modification</w:t>
      </w:r>
      <w:r w:rsidR="006762A7">
        <w:t> : lorsqu</w:t>
      </w:r>
      <w:r w:rsidR="00CA42F2">
        <w:t>e le demandeur sollicite</w:t>
      </w:r>
      <w:r>
        <w:t xml:space="preserve"> une modification d’une autorisation en cours de validité ou en cours d’instruction  (</w:t>
      </w:r>
      <w:r w:rsidRPr="00376962">
        <w:rPr>
          <w:rFonts w:cs="Times New Roman"/>
          <w:color w:val="000000" w:themeColor="text1"/>
        </w:rPr>
        <w:t>complément</w:t>
      </w:r>
      <w:r w:rsidR="00CA42F2">
        <w:rPr>
          <w:rFonts w:cs="Times New Roman"/>
          <w:color w:val="000000" w:themeColor="text1"/>
        </w:rPr>
        <w:t>(s)</w:t>
      </w:r>
      <w:r w:rsidRPr="00376962">
        <w:rPr>
          <w:rFonts w:cs="Times New Roman"/>
          <w:color w:val="000000" w:themeColor="text1"/>
        </w:rPr>
        <w:t xml:space="preserve"> ou changement</w:t>
      </w:r>
      <w:r w:rsidR="00CA42F2">
        <w:rPr>
          <w:rFonts w:cs="Times New Roman"/>
          <w:color w:val="000000" w:themeColor="text1"/>
        </w:rPr>
        <w:t>(s)</w:t>
      </w:r>
      <w:r w:rsidRPr="00376962">
        <w:rPr>
          <w:rFonts w:cs="Times New Roman"/>
          <w:color w:val="000000" w:themeColor="text1"/>
        </w:rPr>
        <w:t xml:space="preserve"> </w:t>
      </w:r>
      <w:r w:rsidR="006762A7">
        <w:rPr>
          <w:rFonts w:cs="Times New Roman"/>
          <w:color w:val="000000" w:themeColor="text1"/>
        </w:rPr>
        <w:t>tel</w:t>
      </w:r>
      <w:r w:rsidR="00CA42F2">
        <w:rPr>
          <w:rFonts w:cs="Times New Roman"/>
          <w:color w:val="000000" w:themeColor="text1"/>
        </w:rPr>
        <w:t xml:space="preserve">(s) qu’une </w:t>
      </w:r>
      <w:r w:rsidRPr="00376962">
        <w:rPr>
          <w:rFonts w:cs="Times New Roman"/>
          <w:color w:val="000000" w:themeColor="text1"/>
        </w:rPr>
        <w:t xml:space="preserve">extension </w:t>
      </w:r>
      <w:r w:rsidR="006762A7">
        <w:rPr>
          <w:rFonts w:cs="Times New Roman"/>
          <w:color w:val="000000" w:themeColor="text1"/>
        </w:rPr>
        <w:t xml:space="preserve">ou suppression </w:t>
      </w:r>
      <w:r>
        <w:rPr>
          <w:rFonts w:cs="Times New Roman"/>
          <w:color w:val="000000" w:themeColor="text1"/>
        </w:rPr>
        <w:t>d’</w:t>
      </w:r>
      <w:r w:rsidRPr="00376962">
        <w:rPr>
          <w:rFonts w:cs="Times New Roman"/>
          <w:color w:val="000000" w:themeColor="text1"/>
        </w:rPr>
        <w:t>établissement</w:t>
      </w:r>
      <w:r w:rsidR="006762A7">
        <w:rPr>
          <w:rFonts w:cs="Times New Roman"/>
          <w:color w:val="000000" w:themeColor="text1"/>
        </w:rPr>
        <w:t>(s)</w:t>
      </w:r>
      <w:r>
        <w:rPr>
          <w:rFonts w:cs="Times New Roman"/>
          <w:color w:val="000000" w:themeColor="text1"/>
        </w:rPr>
        <w:t xml:space="preserve">, </w:t>
      </w:r>
      <w:r w:rsidR="00CA42F2">
        <w:rPr>
          <w:rFonts w:cs="Times New Roman"/>
          <w:color w:val="000000" w:themeColor="text1"/>
        </w:rPr>
        <w:t xml:space="preserve">une </w:t>
      </w:r>
      <w:r w:rsidR="006762A7" w:rsidRPr="006762A7">
        <w:rPr>
          <w:rFonts w:cs="Times New Roman"/>
          <w:color w:val="000000" w:themeColor="text1"/>
        </w:rPr>
        <w:t xml:space="preserve">extension ou suppression </w:t>
      </w:r>
      <w:r>
        <w:rPr>
          <w:rFonts w:cs="Times New Roman"/>
          <w:color w:val="000000" w:themeColor="text1"/>
        </w:rPr>
        <w:t>d’activité</w:t>
      </w:r>
      <w:r w:rsidR="006762A7">
        <w:rPr>
          <w:rFonts w:cs="Times New Roman"/>
          <w:color w:val="000000" w:themeColor="text1"/>
        </w:rPr>
        <w:t>(s),</w:t>
      </w:r>
      <w:r w:rsidRPr="00376962">
        <w:rPr>
          <w:rFonts w:cs="Times New Roman"/>
          <w:color w:val="000000" w:themeColor="text1"/>
        </w:rPr>
        <w:t xml:space="preserve"> </w:t>
      </w:r>
      <w:r w:rsidR="00CA42F2">
        <w:rPr>
          <w:rFonts w:cs="Times New Roman"/>
          <w:color w:val="000000" w:themeColor="text1"/>
        </w:rPr>
        <w:t xml:space="preserve">une </w:t>
      </w:r>
      <w:r w:rsidR="006762A7" w:rsidRPr="006762A7">
        <w:rPr>
          <w:rFonts w:cs="Times New Roman"/>
          <w:color w:val="000000" w:themeColor="text1"/>
        </w:rPr>
        <w:t xml:space="preserve">extension ou suppression </w:t>
      </w:r>
      <w:r>
        <w:rPr>
          <w:rFonts w:cs="Times New Roman"/>
          <w:color w:val="000000" w:themeColor="text1"/>
        </w:rPr>
        <w:t xml:space="preserve">de </w:t>
      </w:r>
      <w:r w:rsidRPr="00376962">
        <w:rPr>
          <w:rFonts w:cs="Times New Roman"/>
          <w:color w:val="000000" w:themeColor="text1"/>
        </w:rPr>
        <w:t>catégorie</w:t>
      </w:r>
      <w:r w:rsidR="006762A7">
        <w:rPr>
          <w:rFonts w:cs="Times New Roman"/>
          <w:color w:val="000000" w:themeColor="text1"/>
        </w:rPr>
        <w:t>(s</w:t>
      </w:r>
      <w:r w:rsidR="002B6B46">
        <w:rPr>
          <w:rFonts w:cs="Times New Roman"/>
          <w:color w:val="000000" w:themeColor="text1"/>
        </w:rPr>
        <w:t>)</w:t>
      </w:r>
      <w:r w:rsidR="006762A7">
        <w:rPr>
          <w:rFonts w:cs="Times New Roman"/>
          <w:color w:val="000000" w:themeColor="text1"/>
        </w:rPr>
        <w:t xml:space="preserve">, </w:t>
      </w:r>
      <w:r w:rsidR="00CA42F2">
        <w:rPr>
          <w:rFonts w:cs="Times New Roman"/>
          <w:color w:val="000000" w:themeColor="text1"/>
        </w:rPr>
        <w:t xml:space="preserve">un </w:t>
      </w:r>
      <w:r w:rsidR="006762A7">
        <w:rPr>
          <w:rFonts w:cs="Times New Roman"/>
          <w:color w:val="000000" w:themeColor="text1"/>
        </w:rPr>
        <w:t xml:space="preserve">changement d’actionnaire(s), </w:t>
      </w:r>
      <w:r w:rsidR="00CA42F2">
        <w:rPr>
          <w:rFonts w:cs="Times New Roman"/>
          <w:color w:val="000000" w:themeColor="text1"/>
        </w:rPr>
        <w:t xml:space="preserve">un </w:t>
      </w:r>
      <w:r w:rsidR="006762A7">
        <w:rPr>
          <w:rFonts w:cs="Times New Roman"/>
          <w:color w:val="000000" w:themeColor="text1"/>
        </w:rPr>
        <w:t xml:space="preserve">changement de dirigeant(s), </w:t>
      </w:r>
      <w:r w:rsidR="00CA42F2">
        <w:rPr>
          <w:rFonts w:cs="Times New Roman"/>
          <w:color w:val="000000" w:themeColor="text1"/>
        </w:rPr>
        <w:t xml:space="preserve">un </w:t>
      </w:r>
      <w:r w:rsidR="006762A7">
        <w:rPr>
          <w:rFonts w:cs="Times New Roman"/>
          <w:color w:val="000000" w:themeColor="text1"/>
        </w:rPr>
        <w:t>changement de raison sociale…</w:t>
      </w:r>
      <w:r w:rsidR="00CA42F2">
        <w:rPr>
          <w:rFonts w:cs="Times New Roman"/>
          <w:color w:val="000000" w:themeColor="text1"/>
        </w:rPr>
        <w:t>).</w:t>
      </w:r>
    </w:p>
    <w:p w:rsidR="00EC5469" w:rsidRDefault="006762A7" w:rsidP="007C3CC6">
      <w:pPr>
        <w:spacing w:after="0" w:line="240" w:lineRule="auto"/>
        <w:jc w:val="both"/>
      </w:pPr>
      <w:r w:rsidRPr="00EC5469">
        <w:rPr>
          <w:u w:val="single"/>
        </w:rPr>
        <w:t>Renouvellement </w:t>
      </w:r>
      <w:r>
        <w:rPr>
          <w:u w:val="single"/>
        </w:rPr>
        <w:t xml:space="preserve">et modification </w:t>
      </w:r>
      <w:r>
        <w:t>: lorsqu’à l’occasion de la demande de renouvellement, le demandeur sollicite une modification</w:t>
      </w:r>
      <w:r w:rsidRPr="006762A7">
        <w:t xml:space="preserve">.   </w:t>
      </w:r>
    </w:p>
    <w:p w:rsidR="00EC5469" w:rsidRDefault="00EC5469" w:rsidP="007C3CC6">
      <w:pPr>
        <w:spacing w:after="0" w:line="240" w:lineRule="auto"/>
        <w:jc w:val="both"/>
      </w:pPr>
    </w:p>
    <w:p w:rsidR="003663E0" w:rsidRPr="005F6643" w:rsidRDefault="00765AFF" w:rsidP="007C3CC6">
      <w:pPr>
        <w:spacing w:after="0" w:line="240" w:lineRule="auto"/>
        <w:jc w:val="both"/>
        <w:rPr>
          <w:b/>
          <w:u w:val="single"/>
        </w:rPr>
      </w:pPr>
      <w:r w:rsidRPr="005F6643">
        <w:rPr>
          <w:b/>
          <w:u w:val="single"/>
        </w:rPr>
        <w:t>Nature de l’activité</w:t>
      </w:r>
      <w:r w:rsidR="005F6643" w:rsidRPr="005F6643">
        <w:rPr>
          <w:b/>
          <w:u w:val="single"/>
        </w:rPr>
        <w:t> :</w:t>
      </w:r>
    </w:p>
    <w:p w:rsidR="005F6643" w:rsidRDefault="005F6643" w:rsidP="007C3CC6">
      <w:pPr>
        <w:spacing w:after="0" w:line="240" w:lineRule="auto"/>
        <w:jc w:val="both"/>
      </w:pPr>
      <w:r w:rsidRPr="005F6643">
        <w:rPr>
          <w:u w:val="single"/>
        </w:rPr>
        <w:t>Fabrication </w:t>
      </w:r>
      <w:r>
        <w:t>: toute opération de montage, d’assemblage, d’usinage, de montage, de fabrication additive ou d’emboutissage de matériel de guerre de catégorie A2 l’amenant à sa forme définitive ou très approchée ou toute opération de réparation, de transformation, modification ou de destruction d’un tel matériel</w:t>
      </w:r>
      <w:r w:rsidR="00CA42F2">
        <w:t xml:space="preserve"> (art.</w:t>
      </w:r>
      <w:r w:rsidR="00CA42F2" w:rsidRPr="00CA42F2">
        <w:t xml:space="preserve"> R</w:t>
      </w:r>
      <w:r w:rsidR="00CA42F2">
        <w:t>.</w:t>
      </w:r>
      <w:r w:rsidR="00CA42F2" w:rsidRPr="00CA42F2">
        <w:t>2332-5</w:t>
      </w:r>
      <w:r w:rsidR="00CA42F2">
        <w:t xml:space="preserve"> du code de la défense).</w:t>
      </w:r>
    </w:p>
    <w:p w:rsidR="005F6643" w:rsidRDefault="005F6643" w:rsidP="007C3CC6">
      <w:pPr>
        <w:spacing w:after="0" w:line="240" w:lineRule="auto"/>
        <w:jc w:val="both"/>
      </w:pPr>
      <w:r w:rsidRPr="005F6643">
        <w:rPr>
          <w:u w:val="single"/>
        </w:rPr>
        <w:t>Commerce</w:t>
      </w:r>
      <w:r>
        <w:t> : tout acte de commerce qui consiste à acheter, vendre, louer, prêter y compris par intern</w:t>
      </w:r>
      <w:r w:rsidR="00C64F2C">
        <w:t>e</w:t>
      </w:r>
      <w:r>
        <w:t xml:space="preserve">t, des matériels de guerre de catégorie A2 ou à fournir un service de stockage de ces mêmes matériels. </w:t>
      </w:r>
    </w:p>
    <w:p w:rsidR="00CF74D1" w:rsidRPr="00CF74D1" w:rsidRDefault="005F6643" w:rsidP="00CF74D1">
      <w:pPr>
        <w:spacing w:after="0" w:line="240" w:lineRule="auto"/>
        <w:jc w:val="both"/>
      </w:pPr>
      <w:r w:rsidRPr="005F6643">
        <w:rPr>
          <w:u w:val="single"/>
        </w:rPr>
        <w:t>Intermédiation</w:t>
      </w:r>
      <w:r>
        <w:t xml:space="preserve"> : </w:t>
      </w:r>
      <w:r w:rsidR="00CF74D1" w:rsidRPr="00CF74D1">
        <w:t xml:space="preserve">toute opération à caractère commercial ou à but lucratif dont l’objet consiste, en tout ou partie : </w:t>
      </w:r>
    </w:p>
    <w:p w:rsidR="00CF74D1" w:rsidRPr="00CF74D1" w:rsidRDefault="00CF74D1" w:rsidP="00CF74D1">
      <w:pPr>
        <w:pStyle w:val="Paragraphedeliste"/>
        <w:numPr>
          <w:ilvl w:val="0"/>
          <w:numId w:val="33"/>
        </w:numPr>
        <w:contextualSpacing w:val="0"/>
        <w:jc w:val="both"/>
      </w:pPr>
      <w:r w:rsidRPr="00CF74D1">
        <w:t>a) A rapprocher des personnes souhaitant conclure un contrat d’achat ou de vente, de prêt ou de location-vente de matériels de guerre, d’armes et de munitions, ou à conclure un tel contrat pour le compte d’une des parties ;</w:t>
      </w:r>
    </w:p>
    <w:p w:rsidR="00CF74D1" w:rsidRPr="00CF74D1" w:rsidRDefault="00CF74D1" w:rsidP="00CF74D1">
      <w:pPr>
        <w:pStyle w:val="Paragraphedeliste"/>
        <w:numPr>
          <w:ilvl w:val="0"/>
          <w:numId w:val="33"/>
        </w:numPr>
        <w:contextualSpacing w:val="0"/>
        <w:jc w:val="both"/>
      </w:pPr>
      <w:r w:rsidRPr="00CF74D1">
        <w:t>b) Ou à organiser des transferts d’armes à feu, d’éléments d’arme ou de munitions à l’intérieur d’un Etat membre, depuis un Etat membre vers un autre Etat membre, depuis un Etat membre vers un pays tiers ou depuis un pays tiers vers un Etat membre.</w:t>
      </w:r>
    </w:p>
    <w:p w:rsidR="00CF74D1" w:rsidRPr="00CF74D1" w:rsidRDefault="00CF74D1" w:rsidP="00CF74D1">
      <w:pPr>
        <w:spacing w:after="0" w:line="240" w:lineRule="auto"/>
        <w:jc w:val="both"/>
      </w:pPr>
      <w:r w:rsidRPr="00CF74D1">
        <w:t>Cette opération d’intermédiation faite au profit de toute personne quel que soit le lieu de son établissement prend la forme d’une opération de courtage ou celle d’une opération faisant l’objet d’un mandat particulier ou d’un contrat de commission » (art. R.311-1 III 1° du code de la sécurité intérieure).</w:t>
      </w:r>
    </w:p>
    <w:p w:rsidR="00844C0D" w:rsidRDefault="00844C0D" w:rsidP="007C3CC6">
      <w:pPr>
        <w:spacing w:after="0" w:line="240" w:lineRule="auto"/>
        <w:jc w:val="both"/>
      </w:pPr>
      <w:r w:rsidRPr="00C64F2C">
        <w:rPr>
          <w:u w:val="single"/>
        </w:rPr>
        <w:t>Utilisation ou exploitation</w:t>
      </w:r>
      <w:r>
        <w:t xml:space="preserve"> : </w:t>
      </w:r>
      <w:r w:rsidR="00CF74D1">
        <w:t xml:space="preserve">toute </w:t>
      </w:r>
      <w:r w:rsidR="00401A0F">
        <w:t xml:space="preserve">externalisation de services de défense </w:t>
      </w:r>
      <w:r w:rsidR="00CF74D1">
        <w:t xml:space="preserve">décrite en a. ou b. réalisée </w:t>
      </w:r>
      <w:r>
        <w:t xml:space="preserve">sur le territoire national, </w:t>
      </w:r>
      <w:r w:rsidR="00CF74D1">
        <w:t xml:space="preserve">dont </w:t>
      </w:r>
      <w:r w:rsidR="00401A0F">
        <w:t xml:space="preserve">le périmètre </w:t>
      </w:r>
      <w:r w:rsidR="00722B47">
        <w:t xml:space="preserve">d’activité repose sur </w:t>
      </w:r>
      <w:r w:rsidR="00CF74D1">
        <w:t xml:space="preserve">l’utilisation ou exploitation </w:t>
      </w:r>
      <w:r>
        <w:t xml:space="preserve">de </w:t>
      </w:r>
      <w:r w:rsidR="00401A0F">
        <w:t>biens militaires</w:t>
      </w:r>
      <w:r>
        <w:t xml:space="preserve"> </w:t>
      </w:r>
      <w:r w:rsidR="00722B47">
        <w:t>et à destination</w:t>
      </w:r>
      <w:r>
        <w:t xml:space="preserve"> </w:t>
      </w:r>
      <w:r w:rsidR="00CF74D1">
        <w:t xml:space="preserve">de personnes publiques </w:t>
      </w:r>
      <w:r w:rsidR="00722B47">
        <w:t xml:space="preserve">ou privées chargées d’une mission </w:t>
      </w:r>
      <w:r w:rsidR="00C6349A">
        <w:t>de service public</w:t>
      </w:r>
      <w:r w:rsidR="00722B47">
        <w:t xml:space="preserve"> de sécurité ou de défense dont</w:t>
      </w:r>
      <w:r>
        <w:t xml:space="preserve"> : </w:t>
      </w:r>
    </w:p>
    <w:p w:rsidR="005F6643" w:rsidRDefault="00722B47" w:rsidP="00CF74D1">
      <w:pPr>
        <w:pStyle w:val="Paragraphedeliste"/>
        <w:numPr>
          <w:ilvl w:val="0"/>
          <w:numId w:val="34"/>
        </w:numPr>
        <w:spacing w:after="0" w:line="240" w:lineRule="auto"/>
        <w:ind w:left="709" w:hanging="283"/>
        <w:jc w:val="both"/>
      </w:pPr>
      <w:r>
        <w:rPr>
          <w:u w:val="single"/>
        </w:rPr>
        <w:t>Le</w:t>
      </w:r>
      <w:r w:rsidR="00844C0D" w:rsidRPr="00C64F2C">
        <w:rPr>
          <w:u w:val="single"/>
        </w:rPr>
        <w:t>s prestations de f</w:t>
      </w:r>
      <w:r w:rsidR="005F6643" w:rsidRPr="00C64F2C">
        <w:rPr>
          <w:u w:val="single"/>
        </w:rPr>
        <w:t>ormation opérationnelle</w:t>
      </w:r>
      <w:r w:rsidR="005F6643">
        <w:t xml:space="preserve"> : formation opérationnelle spécialement conçue pour des applications militaires (définition du point 4 de la liste « Autres Matériels Assimilés » de l’arrêté du 27 juin 2012 modifié). </w:t>
      </w:r>
    </w:p>
    <w:p w:rsidR="005F6643" w:rsidRDefault="0044605C" w:rsidP="00CF74D1">
      <w:pPr>
        <w:pStyle w:val="Paragraphedeliste"/>
        <w:numPr>
          <w:ilvl w:val="0"/>
          <w:numId w:val="34"/>
        </w:numPr>
        <w:spacing w:after="0" w:line="240" w:lineRule="auto"/>
        <w:ind w:left="709" w:hanging="283"/>
        <w:jc w:val="both"/>
      </w:pPr>
      <w:r>
        <w:rPr>
          <w:u w:val="single"/>
        </w:rPr>
        <w:t>Les</w:t>
      </w:r>
      <w:r w:rsidR="00844C0D" w:rsidRPr="00C64F2C">
        <w:rPr>
          <w:u w:val="single"/>
        </w:rPr>
        <w:t xml:space="preserve"> prestations</w:t>
      </w:r>
      <w:r w:rsidR="005F6643" w:rsidRPr="00C64F2C">
        <w:rPr>
          <w:u w:val="single"/>
        </w:rPr>
        <w:t xml:space="preserve"> de service (autre que </w:t>
      </w:r>
      <w:r w:rsidR="00844C0D" w:rsidRPr="00C64F2C">
        <w:rPr>
          <w:u w:val="single"/>
        </w:rPr>
        <w:t xml:space="preserve">la </w:t>
      </w:r>
      <w:r w:rsidR="005F6643" w:rsidRPr="00C64F2C">
        <w:rPr>
          <w:u w:val="single"/>
        </w:rPr>
        <w:t xml:space="preserve">formation </w:t>
      </w:r>
      <w:r w:rsidR="005F6643" w:rsidRPr="002B6B46">
        <w:rPr>
          <w:u w:val="single"/>
        </w:rPr>
        <w:t>opérationnelle) </w:t>
      </w:r>
      <w:r w:rsidR="005F6643" w:rsidRPr="002B6B46">
        <w:t xml:space="preserve">: </w:t>
      </w:r>
      <w:r w:rsidR="00844C0D" w:rsidRPr="002B6B46">
        <w:t>faisant</w:t>
      </w:r>
      <w:r w:rsidR="00844C0D">
        <w:t xml:space="preserve"> intervenir des matériels de guerre de catégorie A2</w:t>
      </w:r>
      <w:r w:rsidR="00722B47">
        <w:t xml:space="preserve"> (ex : location de moyens aériens militaires)</w:t>
      </w:r>
      <w:r w:rsidR="00844C0D">
        <w:t xml:space="preserve">. Les prestations de services de transport </w:t>
      </w:r>
      <w:r w:rsidR="00722B47">
        <w:t xml:space="preserve">civils </w:t>
      </w:r>
      <w:r w:rsidR="00844C0D">
        <w:t xml:space="preserve">et les transitaires ne sont pas concernés. </w:t>
      </w:r>
    </w:p>
    <w:p w:rsidR="005F6643" w:rsidRPr="005F6643" w:rsidRDefault="005F6643" w:rsidP="007C3CC6">
      <w:pPr>
        <w:spacing w:after="0" w:line="240" w:lineRule="auto"/>
        <w:jc w:val="both"/>
        <w:rPr>
          <w:b/>
          <w:u w:val="single"/>
        </w:rPr>
      </w:pPr>
    </w:p>
    <w:p w:rsidR="005F6643" w:rsidRDefault="00C6349A" w:rsidP="007C3CC6">
      <w:pPr>
        <w:spacing w:after="0" w:line="240" w:lineRule="auto"/>
        <w:jc w:val="both"/>
        <w:rPr>
          <w:b/>
          <w:u w:val="single"/>
        </w:rPr>
      </w:pPr>
      <w:r w:rsidRPr="005F6643">
        <w:rPr>
          <w:b/>
          <w:u w:val="single"/>
        </w:rPr>
        <w:t>ANNEXE 6 – JUSTIFICATION DU BESOIN</w:t>
      </w:r>
      <w:r>
        <w:rPr>
          <w:b/>
          <w:u w:val="single"/>
        </w:rPr>
        <w:t> :</w:t>
      </w:r>
    </w:p>
    <w:p w:rsidR="00FF7CC1" w:rsidRDefault="00FF7CC1" w:rsidP="007C3CC6">
      <w:pPr>
        <w:spacing w:after="0" w:line="240" w:lineRule="auto"/>
        <w:jc w:val="both"/>
        <w:rPr>
          <w:b/>
          <w:u w:val="single"/>
        </w:rPr>
      </w:pPr>
    </w:p>
    <w:p w:rsidR="00FF7CC1" w:rsidRDefault="002B6B46" w:rsidP="007C3CC6">
      <w:pPr>
        <w:spacing w:after="0" w:line="240" w:lineRule="auto"/>
        <w:jc w:val="both"/>
      </w:pPr>
      <w:r>
        <w:t>Il s’agit de p</w:t>
      </w:r>
      <w:r w:rsidR="00FF7CC1" w:rsidRPr="00FF7CC1">
        <w:t xml:space="preserve">réciser l’activité </w:t>
      </w:r>
      <w:r w:rsidR="0044605C">
        <w:t xml:space="preserve">contrôlée (fabrication, commerce, intermédiation…) </w:t>
      </w:r>
      <w:r w:rsidR="0044605C" w:rsidRPr="00FF7CC1">
        <w:t xml:space="preserve">dont l’exercice est souhaité </w:t>
      </w:r>
      <w:r w:rsidR="0044605C">
        <w:t xml:space="preserve">ou, le cas échéant déjà </w:t>
      </w:r>
      <w:r w:rsidR="00FF7CC1" w:rsidRPr="00FF7CC1">
        <w:t>exercée</w:t>
      </w:r>
      <w:r w:rsidR="0044605C">
        <w:t xml:space="preserve"> en précisant </w:t>
      </w:r>
      <w:r w:rsidR="00FF7CC1" w:rsidRPr="00FF7CC1">
        <w:t xml:space="preserve"> </w:t>
      </w:r>
      <w:r w:rsidR="0044605C">
        <w:t xml:space="preserve">le contexte (ex : </w:t>
      </w:r>
      <w:r w:rsidR="0044605C" w:rsidRPr="00FF7CC1">
        <w:t xml:space="preserve">les prospects, </w:t>
      </w:r>
      <w:r w:rsidR="00FF7CC1" w:rsidRPr="00FF7CC1">
        <w:t>les clients, les contrats avec l’Etat le cas échéant</w:t>
      </w:r>
      <w:r w:rsidR="00FF7CC1">
        <w:t>, ainsi que les matériels de guerre concernés</w:t>
      </w:r>
      <w:r w:rsidR="0044605C">
        <w:t>…).</w:t>
      </w:r>
    </w:p>
    <w:p w:rsidR="00CD30D7" w:rsidRDefault="00CD30D7" w:rsidP="007C3CC6">
      <w:pPr>
        <w:spacing w:after="0" w:line="240" w:lineRule="auto"/>
        <w:jc w:val="both"/>
      </w:pPr>
    </w:p>
    <w:p w:rsidR="00EC5469" w:rsidRPr="00EC5469" w:rsidRDefault="00CD30D7" w:rsidP="0044605C">
      <w:pPr>
        <w:spacing w:after="0" w:line="240" w:lineRule="auto"/>
        <w:jc w:val="both"/>
        <w:rPr>
          <w:rFonts w:ascii="Calibri" w:eastAsia="Times New Roman" w:hAnsi="Calibri" w:cs="Times New Roman"/>
          <w:lang w:eastAsia="fr-FR"/>
        </w:rPr>
      </w:pPr>
      <w:r w:rsidRPr="00CD30D7">
        <w:rPr>
          <w:u w:val="single"/>
        </w:rPr>
        <w:t>Intermédiation </w:t>
      </w:r>
      <w:r>
        <w:t xml:space="preserve">: préciser </w:t>
      </w:r>
      <w:r w:rsidR="00EC5469" w:rsidRPr="00EC5469">
        <w:rPr>
          <w:rFonts w:ascii="Calibri" w:eastAsia="Times New Roman" w:hAnsi="Calibri" w:cs="Times New Roman"/>
          <w:lang w:eastAsia="fr-FR"/>
        </w:rPr>
        <w:t>l’ensemble des pays fournisseur</w:t>
      </w:r>
      <w:r w:rsidR="0044605C">
        <w:rPr>
          <w:rFonts w:ascii="Calibri" w:eastAsia="Times New Roman" w:hAnsi="Calibri" w:cs="Times New Roman"/>
          <w:lang w:eastAsia="fr-FR"/>
        </w:rPr>
        <w:t>(s)</w:t>
      </w:r>
      <w:r w:rsidR="00EC5469" w:rsidRPr="00EC5469">
        <w:rPr>
          <w:rFonts w:ascii="Calibri" w:eastAsia="Times New Roman" w:hAnsi="Calibri" w:cs="Times New Roman"/>
          <w:lang w:eastAsia="fr-FR"/>
        </w:rPr>
        <w:t xml:space="preserve"> ou destinataire</w:t>
      </w:r>
      <w:r w:rsidR="0044605C">
        <w:rPr>
          <w:rFonts w:ascii="Calibri" w:eastAsia="Times New Roman" w:hAnsi="Calibri" w:cs="Times New Roman"/>
          <w:lang w:eastAsia="fr-FR"/>
        </w:rPr>
        <w:t>(s)</w:t>
      </w:r>
      <w:r w:rsidR="00EC5469" w:rsidRPr="00EC5469">
        <w:rPr>
          <w:rFonts w:ascii="Calibri" w:eastAsia="Times New Roman" w:hAnsi="Calibri" w:cs="Times New Roman"/>
          <w:lang w:eastAsia="fr-FR"/>
        </w:rPr>
        <w:t xml:space="preserve"> </w:t>
      </w:r>
      <w:r w:rsidR="0044605C" w:rsidRPr="00EC5469">
        <w:rPr>
          <w:rFonts w:ascii="Calibri" w:eastAsia="Times New Roman" w:hAnsi="Calibri" w:cs="Times New Roman"/>
          <w:lang w:eastAsia="fr-FR"/>
        </w:rPr>
        <w:t>des matériels de guerre</w:t>
      </w:r>
      <w:r w:rsidR="0044605C">
        <w:rPr>
          <w:rFonts w:ascii="Calibri" w:eastAsia="Times New Roman" w:hAnsi="Calibri" w:cs="Times New Roman"/>
          <w:lang w:eastAsia="fr-FR"/>
        </w:rPr>
        <w:t xml:space="preserve">, </w:t>
      </w:r>
      <w:r w:rsidR="00EC5469" w:rsidRPr="00EC5469">
        <w:rPr>
          <w:rFonts w:ascii="Calibri" w:eastAsia="Times New Roman" w:hAnsi="Calibri" w:cs="Times New Roman"/>
          <w:lang w:eastAsia="fr-FR"/>
        </w:rPr>
        <w:t xml:space="preserve">armes, munitions et leurs éléments, </w:t>
      </w:r>
      <w:r w:rsidR="0044605C">
        <w:rPr>
          <w:rFonts w:ascii="Calibri" w:eastAsia="Times New Roman" w:hAnsi="Calibri" w:cs="Times New Roman"/>
          <w:lang w:eastAsia="fr-FR"/>
        </w:rPr>
        <w:t>que le demandeur</w:t>
      </w:r>
      <w:r w:rsidR="00EC5469" w:rsidRPr="00EC5469">
        <w:rPr>
          <w:rFonts w:ascii="Calibri" w:eastAsia="Times New Roman" w:hAnsi="Calibri" w:cs="Times New Roman"/>
          <w:lang w:eastAsia="fr-FR"/>
        </w:rPr>
        <w:t xml:space="preserve"> souhaite voir couvrir dans le cadre de son activité.</w:t>
      </w:r>
    </w:p>
    <w:p w:rsidR="00FF7CC1" w:rsidRDefault="00FF7CC1" w:rsidP="007C3CC6">
      <w:pPr>
        <w:spacing w:after="0" w:line="240" w:lineRule="auto"/>
        <w:jc w:val="both"/>
        <w:rPr>
          <w:b/>
          <w:u w:val="single"/>
        </w:rPr>
      </w:pPr>
      <w:r>
        <w:rPr>
          <w:b/>
          <w:u w:val="single"/>
        </w:rPr>
        <w:t xml:space="preserve"> </w:t>
      </w:r>
    </w:p>
    <w:p w:rsidR="002B6B46" w:rsidRDefault="00CD30D7" w:rsidP="007C3CC6">
      <w:pPr>
        <w:spacing w:after="0" w:line="240" w:lineRule="auto"/>
        <w:jc w:val="both"/>
      </w:pPr>
      <w:r>
        <w:rPr>
          <w:u w:val="single"/>
        </w:rPr>
        <w:t>E</w:t>
      </w:r>
      <w:r w:rsidR="005F6643" w:rsidRPr="005F6643">
        <w:rPr>
          <w:u w:val="single"/>
        </w:rPr>
        <w:t>xploitation et l’utilisation</w:t>
      </w:r>
      <w:r>
        <w:rPr>
          <w:u w:val="single"/>
        </w:rPr>
        <w:t> :</w:t>
      </w:r>
      <w:r w:rsidR="005F6643" w:rsidRPr="005F6643">
        <w:t xml:space="preserve"> préciser au profit de qui est </w:t>
      </w:r>
      <w:r w:rsidR="00FF7CC1" w:rsidRPr="005F6643">
        <w:t>exécutée</w:t>
      </w:r>
      <w:r w:rsidR="005F6643" w:rsidRPr="005F6643">
        <w:t xml:space="preserve"> la prestation</w:t>
      </w:r>
      <w:r w:rsidR="002B6B46">
        <w:t>.</w:t>
      </w:r>
    </w:p>
    <w:p w:rsidR="002B6B46" w:rsidRDefault="005F6643" w:rsidP="007C3CC6">
      <w:pPr>
        <w:spacing w:after="0" w:line="240" w:lineRule="auto"/>
        <w:jc w:val="both"/>
      </w:pPr>
      <w:r w:rsidRPr="005F6643">
        <w:t xml:space="preserve"> </w:t>
      </w:r>
    </w:p>
    <w:p w:rsidR="00FF7CC1" w:rsidRPr="00FF7CC1" w:rsidRDefault="00C6349A" w:rsidP="007C3CC6">
      <w:pPr>
        <w:spacing w:after="0" w:line="240" w:lineRule="auto"/>
        <w:jc w:val="both"/>
        <w:rPr>
          <w:b/>
          <w:u w:val="single"/>
        </w:rPr>
      </w:pPr>
      <w:r w:rsidRPr="00FF7CC1">
        <w:rPr>
          <w:b/>
          <w:u w:val="single"/>
        </w:rPr>
        <w:t>ANNEXE 8- FORMATIONS OPERATIONNELLES </w:t>
      </w:r>
      <w:r>
        <w:rPr>
          <w:b/>
          <w:u w:val="single"/>
        </w:rPr>
        <w:t xml:space="preserve">ET PRESTATIONS DE SERVICES </w:t>
      </w:r>
      <w:r w:rsidRPr="00FF7CC1">
        <w:rPr>
          <w:b/>
          <w:u w:val="single"/>
        </w:rPr>
        <w:t xml:space="preserve">:  </w:t>
      </w:r>
    </w:p>
    <w:p w:rsidR="00FF7CC1" w:rsidRDefault="00FF7CC1" w:rsidP="007C3CC6">
      <w:pPr>
        <w:spacing w:after="0" w:line="240" w:lineRule="auto"/>
        <w:jc w:val="both"/>
      </w:pPr>
    </w:p>
    <w:p w:rsidR="00844C0D" w:rsidRDefault="00CD30D7" w:rsidP="007C3CC6">
      <w:pPr>
        <w:spacing w:after="0" w:line="240" w:lineRule="auto"/>
        <w:jc w:val="both"/>
      </w:pPr>
      <w:r>
        <w:rPr>
          <w:u w:val="single"/>
        </w:rPr>
        <w:t>F</w:t>
      </w:r>
      <w:r w:rsidR="00FF7CC1" w:rsidRPr="00CD30D7">
        <w:rPr>
          <w:u w:val="single"/>
        </w:rPr>
        <w:t>ormations opérationnelles</w:t>
      </w:r>
      <w:r w:rsidR="00FF7CC1">
        <w:t xml:space="preserve"> : </w:t>
      </w:r>
    </w:p>
    <w:p w:rsidR="000D09A1" w:rsidRDefault="00844C0D" w:rsidP="007C3CC6">
      <w:pPr>
        <w:pStyle w:val="Paragraphedeliste"/>
        <w:numPr>
          <w:ilvl w:val="0"/>
          <w:numId w:val="31"/>
        </w:numPr>
        <w:spacing w:after="0" w:line="240" w:lineRule="auto"/>
        <w:jc w:val="both"/>
      </w:pPr>
      <w:r>
        <w:t>P</w:t>
      </w:r>
      <w:r w:rsidR="0044605C">
        <w:t xml:space="preserve">réciser la ou les personne(s) chargée(s) de dispenser les formations (ou le </w:t>
      </w:r>
      <w:r w:rsidR="00FF7CC1">
        <w:t>responsable pédagogique des formations</w:t>
      </w:r>
      <w:r w:rsidR="0044605C">
        <w:t xml:space="preserve"> ou le dirigeant responsable de l’activité de formation)</w:t>
      </w:r>
      <w:r w:rsidR="00FF7CC1">
        <w:t>, nom</w:t>
      </w:r>
      <w:r w:rsidR="0044605C">
        <w:t>(s)</w:t>
      </w:r>
      <w:r w:rsidR="00FF7CC1">
        <w:t xml:space="preserve"> prénom</w:t>
      </w:r>
      <w:r w:rsidR="0044605C">
        <w:t>(s)</w:t>
      </w:r>
      <w:r w:rsidR="00FF7CC1">
        <w:t>, adresse, nationalité, connaissances et compétences nécessaires à l’exercice de cette activité</w:t>
      </w:r>
      <w:r>
        <w:t> ;</w:t>
      </w:r>
      <w:r w:rsidR="000D09A1">
        <w:t xml:space="preserve"> à défaut, le responsable désigné sera une personne habilitée à engager la société (dirigeant)</w:t>
      </w:r>
    </w:p>
    <w:p w:rsidR="00844C0D" w:rsidRDefault="00FF7CC1" w:rsidP="007C3CC6">
      <w:pPr>
        <w:pStyle w:val="Paragraphedeliste"/>
        <w:numPr>
          <w:ilvl w:val="0"/>
          <w:numId w:val="31"/>
        </w:numPr>
        <w:spacing w:after="0" w:line="240" w:lineRule="auto"/>
        <w:jc w:val="both"/>
      </w:pPr>
      <w:r>
        <w:t xml:space="preserve"> </w:t>
      </w:r>
      <w:r w:rsidR="00844C0D">
        <w:t xml:space="preserve">Préciser l’inventaire des matériels de guerre et matériels assimilés </w:t>
      </w:r>
      <w:r w:rsidR="00844C0D" w:rsidRPr="0044605C">
        <w:rPr>
          <w:u w:val="single"/>
        </w:rPr>
        <w:t>détenus</w:t>
      </w:r>
      <w:r w:rsidR="00844C0D">
        <w:t xml:space="preserve"> à la date de la demande, dont l’utilisation ou l’exploitation est envisagée, en précisant, pour chacun d’eux, leur catégorie ;</w:t>
      </w:r>
    </w:p>
    <w:p w:rsidR="00844C0D" w:rsidRDefault="00844C0D" w:rsidP="007C3CC6">
      <w:pPr>
        <w:pStyle w:val="Paragraphedeliste"/>
        <w:numPr>
          <w:ilvl w:val="0"/>
          <w:numId w:val="31"/>
        </w:numPr>
        <w:spacing w:after="0" w:line="240" w:lineRule="auto"/>
        <w:jc w:val="both"/>
      </w:pPr>
      <w:r>
        <w:t xml:space="preserve">Préciser les catégories de matériels de guerre et matériels assimilés dont </w:t>
      </w:r>
      <w:r w:rsidRPr="00C6349A">
        <w:rPr>
          <w:u w:val="single"/>
        </w:rPr>
        <w:t>l’acquisition, la location ou l’emprunt</w:t>
      </w:r>
      <w:r>
        <w:t xml:space="preserve"> sont envisagés au regard de la nature des prestations.</w:t>
      </w:r>
    </w:p>
    <w:p w:rsidR="00844C0D" w:rsidRDefault="00844C0D" w:rsidP="007C3CC6">
      <w:pPr>
        <w:spacing w:after="0" w:line="240" w:lineRule="auto"/>
        <w:jc w:val="both"/>
      </w:pPr>
    </w:p>
    <w:p w:rsidR="00CD30D7" w:rsidRDefault="00CD30D7" w:rsidP="007C3CC6">
      <w:pPr>
        <w:spacing w:after="0" w:line="240" w:lineRule="auto"/>
        <w:jc w:val="both"/>
      </w:pPr>
    </w:p>
    <w:p w:rsidR="00844C0D" w:rsidRDefault="00CD30D7" w:rsidP="007C3CC6">
      <w:pPr>
        <w:spacing w:after="0" w:line="240" w:lineRule="auto"/>
        <w:jc w:val="both"/>
      </w:pPr>
      <w:r w:rsidRPr="00CD30D7">
        <w:rPr>
          <w:u w:val="single"/>
        </w:rPr>
        <w:t>P</w:t>
      </w:r>
      <w:r w:rsidR="00FF7CC1" w:rsidRPr="00CD30D7">
        <w:rPr>
          <w:u w:val="single"/>
        </w:rPr>
        <w:t>restation de services autres que les formations opérationnelles</w:t>
      </w:r>
      <w:r w:rsidR="00FF7CC1">
        <w:t xml:space="preserve"> : </w:t>
      </w:r>
    </w:p>
    <w:p w:rsidR="00FF7CC1" w:rsidRDefault="00FF7CC1" w:rsidP="007C3CC6">
      <w:pPr>
        <w:pStyle w:val="Paragraphedeliste"/>
        <w:numPr>
          <w:ilvl w:val="0"/>
          <w:numId w:val="31"/>
        </w:numPr>
        <w:spacing w:after="0" w:line="240" w:lineRule="auto"/>
        <w:jc w:val="both"/>
      </w:pPr>
      <w:r>
        <w:t>préciser le responsable de l’utilisation et de l’exploitation des matériels de guerre de la catégorie A2</w:t>
      </w:r>
      <w:r w:rsidR="00CD30D7">
        <w:t xml:space="preserve">, ses noms, prénom, adresse, nationalité, connaissance et compétences nécessaires à l’exercice de cette activité (si ce responsable est différent de la personne habilitée à engager la société) </w:t>
      </w:r>
      <w:r>
        <w:t xml:space="preserve"> </w:t>
      </w:r>
    </w:p>
    <w:p w:rsidR="00844C0D" w:rsidRDefault="00844C0D" w:rsidP="007C3CC6">
      <w:pPr>
        <w:pStyle w:val="Paragraphedeliste"/>
        <w:numPr>
          <w:ilvl w:val="0"/>
          <w:numId w:val="31"/>
        </w:numPr>
        <w:spacing w:after="0" w:line="240" w:lineRule="auto"/>
        <w:jc w:val="both"/>
      </w:pPr>
      <w:r>
        <w:t xml:space="preserve">Préciser l’inventaire des matériels de guerre </w:t>
      </w:r>
      <w:r w:rsidRPr="00C6349A">
        <w:rPr>
          <w:u w:val="single"/>
        </w:rPr>
        <w:t>détenus</w:t>
      </w:r>
      <w:r>
        <w:t xml:space="preserve"> à la date de la demande, dont l’utilisation ou l’exploitation est envisagée, en précisant, pour chacun d’eux, leur catégorie ;</w:t>
      </w:r>
    </w:p>
    <w:p w:rsidR="00844C0D" w:rsidRDefault="00844C0D" w:rsidP="007C3CC6">
      <w:pPr>
        <w:pStyle w:val="Paragraphedeliste"/>
        <w:numPr>
          <w:ilvl w:val="0"/>
          <w:numId w:val="31"/>
        </w:numPr>
        <w:spacing w:after="0" w:line="240" w:lineRule="auto"/>
        <w:jc w:val="both"/>
      </w:pPr>
      <w:r>
        <w:t>Préciser les catégories de matériels de guerre dont l’</w:t>
      </w:r>
      <w:r w:rsidRPr="00C6349A">
        <w:rPr>
          <w:u w:val="single"/>
        </w:rPr>
        <w:t xml:space="preserve">acquisition, la location ou l’emprunt </w:t>
      </w:r>
      <w:r>
        <w:t>sont envisagés au regard de la nature des prestations.</w:t>
      </w:r>
    </w:p>
    <w:p w:rsidR="00844C0D" w:rsidRDefault="00844C0D" w:rsidP="007C3CC6">
      <w:pPr>
        <w:spacing w:after="0" w:line="240" w:lineRule="auto"/>
        <w:jc w:val="both"/>
      </w:pPr>
    </w:p>
    <w:p w:rsidR="00E064B8" w:rsidRDefault="00E064B8" w:rsidP="007C3CC6">
      <w:pPr>
        <w:spacing w:after="0" w:line="240" w:lineRule="auto"/>
        <w:jc w:val="both"/>
        <w:rPr>
          <w:b/>
          <w:u w:val="single"/>
        </w:rPr>
      </w:pPr>
    </w:p>
    <w:p w:rsidR="00484394" w:rsidRPr="00263A58" w:rsidRDefault="00484394" w:rsidP="00484394">
      <w:pPr>
        <w:spacing w:after="0" w:line="240" w:lineRule="auto"/>
        <w:jc w:val="both"/>
        <w:rPr>
          <w:b/>
          <w:color w:val="FF0000"/>
          <w:u w:val="single"/>
        </w:rPr>
      </w:pPr>
      <w:r w:rsidRPr="00263A58">
        <w:rPr>
          <w:b/>
          <w:color w:val="FF0000"/>
          <w:u w:val="single"/>
        </w:rPr>
        <w:t xml:space="preserve">NB : si l’annexe 8 n’est pas complétée alors que les cases « formation opérationnelle » ou « prestation de service » sont cochées dans la nature de l’activité, le service ne prendra pas en compte la demande concernant ses activités. </w:t>
      </w:r>
    </w:p>
    <w:p w:rsidR="00C6349A" w:rsidRDefault="00C6349A" w:rsidP="007C3CC6">
      <w:pPr>
        <w:spacing w:after="0" w:line="240" w:lineRule="auto"/>
        <w:jc w:val="both"/>
        <w:rPr>
          <w:b/>
          <w:u w:val="single"/>
        </w:rPr>
      </w:pPr>
      <w:bookmarkStart w:id="0" w:name="_GoBack"/>
      <w:bookmarkEnd w:id="0"/>
    </w:p>
    <w:p w:rsidR="00C6349A" w:rsidRDefault="00C6349A" w:rsidP="007C3CC6">
      <w:pPr>
        <w:spacing w:after="0" w:line="240" w:lineRule="auto"/>
        <w:jc w:val="both"/>
        <w:rPr>
          <w:b/>
          <w:u w:val="single"/>
        </w:rPr>
      </w:pPr>
    </w:p>
    <w:p w:rsidR="00C6349A" w:rsidRDefault="00C6349A" w:rsidP="007C3CC6">
      <w:pPr>
        <w:spacing w:after="0" w:line="240" w:lineRule="auto"/>
        <w:jc w:val="both"/>
        <w:rPr>
          <w:b/>
          <w:u w:val="single"/>
        </w:rPr>
      </w:pPr>
    </w:p>
    <w:p w:rsidR="00C6349A" w:rsidRDefault="00C6349A" w:rsidP="007C3CC6">
      <w:pPr>
        <w:spacing w:after="0" w:line="240" w:lineRule="auto"/>
        <w:jc w:val="both"/>
        <w:rPr>
          <w:b/>
          <w:u w:val="single"/>
        </w:rPr>
      </w:pPr>
    </w:p>
    <w:p w:rsidR="00C6349A" w:rsidRDefault="00C6349A" w:rsidP="007C3CC6">
      <w:pPr>
        <w:spacing w:after="0" w:line="240" w:lineRule="auto"/>
        <w:jc w:val="both"/>
        <w:rPr>
          <w:b/>
          <w:u w:val="single"/>
        </w:rPr>
      </w:pPr>
    </w:p>
    <w:p w:rsidR="00C6349A" w:rsidRDefault="00C6349A" w:rsidP="007C3CC6">
      <w:pPr>
        <w:spacing w:after="0" w:line="240" w:lineRule="auto"/>
        <w:jc w:val="both"/>
        <w:rPr>
          <w:b/>
          <w:u w:val="single"/>
        </w:rPr>
      </w:pPr>
    </w:p>
    <w:p w:rsidR="00C6349A" w:rsidRDefault="00C6349A" w:rsidP="007C3CC6">
      <w:pPr>
        <w:spacing w:after="0" w:line="240" w:lineRule="auto"/>
        <w:jc w:val="both"/>
        <w:rPr>
          <w:b/>
          <w:u w:val="single"/>
        </w:rPr>
      </w:pPr>
    </w:p>
    <w:p w:rsidR="00C6349A" w:rsidRDefault="00C6349A" w:rsidP="007C3CC6">
      <w:pPr>
        <w:spacing w:after="0" w:line="240" w:lineRule="auto"/>
        <w:jc w:val="both"/>
        <w:rPr>
          <w:b/>
          <w:u w:val="single"/>
        </w:rPr>
      </w:pPr>
    </w:p>
    <w:p w:rsidR="00C6349A" w:rsidRDefault="00C6349A" w:rsidP="007C3CC6">
      <w:pPr>
        <w:spacing w:after="0" w:line="240" w:lineRule="auto"/>
        <w:jc w:val="both"/>
        <w:rPr>
          <w:b/>
          <w:u w:val="single"/>
        </w:rPr>
      </w:pPr>
    </w:p>
    <w:p w:rsidR="00C6349A" w:rsidRDefault="00C6349A" w:rsidP="007C3CC6">
      <w:pPr>
        <w:spacing w:after="0" w:line="240" w:lineRule="auto"/>
        <w:jc w:val="both"/>
        <w:rPr>
          <w:b/>
          <w:u w:val="single"/>
        </w:rPr>
      </w:pPr>
    </w:p>
    <w:p w:rsidR="00C6349A" w:rsidRDefault="00C6349A" w:rsidP="007C3CC6">
      <w:pPr>
        <w:spacing w:after="0" w:line="240" w:lineRule="auto"/>
        <w:jc w:val="both"/>
        <w:rPr>
          <w:b/>
          <w:u w:val="single"/>
        </w:rPr>
      </w:pPr>
    </w:p>
    <w:p w:rsidR="00C6349A" w:rsidRDefault="00C6349A" w:rsidP="007C3CC6">
      <w:pPr>
        <w:spacing w:after="0" w:line="240" w:lineRule="auto"/>
        <w:jc w:val="both"/>
        <w:rPr>
          <w:b/>
          <w:u w:val="single"/>
        </w:rPr>
      </w:pPr>
    </w:p>
    <w:p w:rsidR="00C6349A" w:rsidRDefault="00C6349A" w:rsidP="007C3CC6">
      <w:pPr>
        <w:spacing w:after="0" w:line="240" w:lineRule="auto"/>
        <w:jc w:val="both"/>
        <w:rPr>
          <w:b/>
          <w:u w:val="single"/>
        </w:rPr>
      </w:pPr>
    </w:p>
    <w:p w:rsidR="00EC5469" w:rsidRPr="00EC5469" w:rsidRDefault="00EC5469" w:rsidP="007C3CC6">
      <w:pPr>
        <w:spacing w:after="0" w:line="240" w:lineRule="auto"/>
        <w:jc w:val="both"/>
        <w:rPr>
          <w:b/>
          <w:u w:val="single"/>
        </w:rPr>
      </w:pPr>
      <w:r w:rsidRPr="00EC5469">
        <w:rPr>
          <w:b/>
          <w:u w:val="single"/>
        </w:rPr>
        <w:t xml:space="preserve">Pièces à fournir </w:t>
      </w:r>
    </w:p>
    <w:p w:rsidR="00EC5469" w:rsidRPr="00EC5469" w:rsidRDefault="00EC5469" w:rsidP="007C3CC6">
      <w:pPr>
        <w:spacing w:after="0" w:line="240" w:lineRule="auto"/>
        <w:jc w:val="both"/>
        <w:rPr>
          <w:b/>
          <w:u w:val="single"/>
        </w:rPr>
      </w:pPr>
    </w:p>
    <w:p w:rsidR="00EC5469" w:rsidRPr="00C6349A" w:rsidRDefault="00EC5469" w:rsidP="00C6349A">
      <w:pPr>
        <w:spacing w:after="120" w:line="240" w:lineRule="auto"/>
        <w:jc w:val="both"/>
        <w:textAlignment w:val="center"/>
        <w:rPr>
          <w:rFonts w:ascii="Calibri" w:eastAsia="Times New Roman" w:hAnsi="Calibri" w:cs="Times New Roman"/>
          <w:b/>
          <w:bCs/>
          <w:color w:val="4F81BD"/>
          <w:lang w:eastAsia="fr-FR"/>
        </w:rPr>
      </w:pPr>
      <w:r w:rsidRPr="00C6349A">
        <w:rPr>
          <w:rFonts w:ascii="Calibri" w:eastAsia="Times New Roman" w:hAnsi="Calibri" w:cs="Times New Roman"/>
          <w:b/>
          <w:bCs/>
          <w:color w:val="4F81BD"/>
          <w:lang w:eastAsia="fr-FR"/>
        </w:rPr>
        <w:t>Nature du demandeur</w:t>
      </w:r>
    </w:p>
    <w:p w:rsidR="00EC5469" w:rsidRPr="00EC5469" w:rsidRDefault="00EC5469" w:rsidP="007C3CC6">
      <w:pPr>
        <w:spacing w:line="240" w:lineRule="auto"/>
        <w:jc w:val="both"/>
        <w:rPr>
          <w:rFonts w:ascii="Calibri" w:eastAsia="Times New Roman" w:hAnsi="Calibri" w:cs="Times New Roman"/>
          <w:lang w:eastAsia="fr-FR"/>
        </w:rPr>
      </w:pPr>
      <w:r w:rsidRPr="00EC5469">
        <w:rPr>
          <w:rFonts w:ascii="Calibri" w:eastAsia="Times New Roman" w:hAnsi="Calibri" w:cs="Times New Roman"/>
          <w:lang w:eastAsia="fr-FR"/>
        </w:rPr>
        <w:t>Le demandeur peut être une personne physique/</w:t>
      </w:r>
      <w:r w:rsidRPr="00EC5469">
        <w:rPr>
          <w:rFonts w:ascii="Calibri" w:eastAsia="Times New Roman" w:hAnsi="Calibri" w:cs="Times New Roman"/>
          <w:color w:val="00B050"/>
          <w:lang w:eastAsia="fr-FR"/>
        </w:rPr>
        <w:t>entreprise individuelle</w:t>
      </w:r>
      <w:r w:rsidRPr="00EC5469">
        <w:rPr>
          <w:rFonts w:ascii="Calibri" w:eastAsia="Times New Roman" w:hAnsi="Calibri" w:cs="Times New Roman"/>
          <w:lang w:eastAsia="fr-FR"/>
        </w:rPr>
        <w:t xml:space="preserve"> ou une personne morale.</w:t>
      </w:r>
    </w:p>
    <w:p w:rsidR="00EC5469" w:rsidRPr="00EC5469" w:rsidRDefault="00C6349A" w:rsidP="007C3CC6">
      <w:pPr>
        <w:spacing w:line="240" w:lineRule="auto"/>
        <w:jc w:val="both"/>
        <w:rPr>
          <w:rFonts w:ascii="Times New Roman" w:eastAsia="Times New Roman" w:hAnsi="Times New Roman" w:cs="Times New Roman"/>
          <w:sz w:val="24"/>
          <w:szCs w:val="24"/>
          <w:lang w:eastAsia="fr-FR"/>
        </w:rPr>
      </w:pPr>
      <w:r>
        <w:rPr>
          <w:rFonts w:ascii="Calibri" w:eastAsia="Times New Roman" w:hAnsi="Calibri" w:cs="Times New Roman"/>
          <w:lang w:eastAsia="fr-FR"/>
        </w:rPr>
        <w:t>Conformément à l’</w:t>
      </w:r>
      <w:r w:rsidR="00EC5469" w:rsidRPr="00EC5469">
        <w:rPr>
          <w:rFonts w:ascii="Calibri" w:eastAsia="Times New Roman" w:hAnsi="Calibri" w:cs="Times New Roman"/>
          <w:lang w:eastAsia="fr-FR"/>
        </w:rPr>
        <w:t>article R2332-6 du code de la défense</w:t>
      </w:r>
      <w:r>
        <w:rPr>
          <w:rFonts w:ascii="Calibri" w:eastAsia="Times New Roman" w:hAnsi="Calibri" w:cs="Times New Roman"/>
          <w:lang w:eastAsia="fr-FR"/>
        </w:rPr>
        <w:t>,</w:t>
      </w:r>
      <w:r w:rsidR="00EC5469" w:rsidRPr="00EC5469">
        <w:rPr>
          <w:rFonts w:ascii="Calibri" w:eastAsia="Times New Roman" w:hAnsi="Calibri" w:cs="Times New Roman"/>
          <w:lang w:eastAsia="fr-FR"/>
        </w:rPr>
        <w:t xml:space="preserve"> seuls peuvent solliciter une </w:t>
      </w:r>
      <w:r w:rsidR="00EC5469">
        <w:rPr>
          <w:rFonts w:ascii="Calibri" w:eastAsia="Times New Roman" w:hAnsi="Calibri" w:cs="Times New Roman"/>
          <w:lang w:eastAsia="fr-FR"/>
        </w:rPr>
        <w:t>autorisation pour les activités liées au matériel de catégorie A2</w:t>
      </w:r>
      <w:r w:rsidR="00EC5469" w:rsidRPr="00EC5469">
        <w:rPr>
          <w:rFonts w:ascii="Calibri" w:eastAsia="Times New Roman" w:hAnsi="Calibri" w:cs="Times New Roman"/>
          <w:lang w:eastAsia="fr-FR"/>
        </w:rPr>
        <w:t>, les personnes de nationalité française</w:t>
      </w:r>
      <w:r w:rsidR="00EC5469">
        <w:rPr>
          <w:rFonts w:ascii="Calibri" w:eastAsia="Times New Roman" w:hAnsi="Calibri" w:cs="Times New Roman"/>
          <w:lang w:eastAsia="fr-FR"/>
        </w:rPr>
        <w:t>.</w:t>
      </w:r>
      <w:r w:rsidR="00EC5469" w:rsidRPr="00EC5469">
        <w:rPr>
          <w:rFonts w:ascii="Calibri" w:eastAsia="Times New Roman" w:hAnsi="Calibri" w:cs="Times New Roman"/>
          <w:lang w:eastAsia="fr-FR"/>
        </w:rPr>
        <w:t xml:space="preserve"> </w:t>
      </w:r>
    </w:p>
    <w:p w:rsidR="00EC5469" w:rsidRPr="00EC5469" w:rsidRDefault="00EC5469" w:rsidP="007C3CC6">
      <w:pPr>
        <w:spacing w:line="240" w:lineRule="auto"/>
        <w:jc w:val="both"/>
        <w:rPr>
          <w:rFonts w:ascii="Calibri" w:eastAsia="Times New Roman" w:hAnsi="Calibri" w:cs="Times New Roman"/>
          <w:lang w:eastAsia="fr-FR"/>
        </w:rPr>
      </w:pPr>
      <w:r w:rsidRPr="00EC5469">
        <w:rPr>
          <w:rFonts w:ascii="Calibri" w:eastAsia="Times New Roman" w:hAnsi="Calibri" w:cs="Times New Roman"/>
          <w:lang w:eastAsia="fr-FR"/>
        </w:rPr>
        <w:t xml:space="preserve">Des dérogations sont toutefois possibles mais rendent le délai d’instruction de la demande plus long.  </w:t>
      </w:r>
    </w:p>
    <w:p w:rsidR="00EC5469" w:rsidRPr="00EC5469" w:rsidRDefault="00EC5469" w:rsidP="00C6349A">
      <w:pPr>
        <w:spacing w:after="120" w:line="240" w:lineRule="auto"/>
        <w:jc w:val="both"/>
        <w:textAlignment w:val="center"/>
        <w:rPr>
          <w:rFonts w:ascii="Cambria" w:eastAsia="Times New Roman" w:hAnsi="Cambria" w:cs="Times New Roman"/>
          <w:b/>
          <w:bCs/>
          <w:color w:val="4F81BD"/>
          <w:sz w:val="26"/>
          <w:szCs w:val="26"/>
          <w:lang w:eastAsia="fr-FR"/>
        </w:rPr>
      </w:pPr>
      <w:r w:rsidRPr="00EC5469">
        <w:rPr>
          <w:rFonts w:ascii="Calibri" w:eastAsia="Times New Roman" w:hAnsi="Calibri" w:cs="Times New Roman"/>
          <w:b/>
          <w:bCs/>
          <w:color w:val="4F81BD"/>
          <w:lang w:eastAsia="fr-FR"/>
        </w:rPr>
        <w:t>Constitution du dossier</w:t>
      </w:r>
    </w:p>
    <w:p w:rsidR="00EC5469" w:rsidRPr="00EC5469" w:rsidRDefault="00EC5469" w:rsidP="007C3CC6">
      <w:pPr>
        <w:spacing w:after="120" w:line="240" w:lineRule="auto"/>
        <w:jc w:val="both"/>
        <w:rPr>
          <w:rFonts w:ascii="Calibri" w:eastAsia="Times New Roman" w:hAnsi="Calibri" w:cs="Times New Roman"/>
          <w:lang w:eastAsia="fr-FR"/>
        </w:rPr>
      </w:pPr>
      <w:r w:rsidRPr="00EC5469">
        <w:rPr>
          <w:rFonts w:ascii="Calibri" w:eastAsia="Times New Roman" w:hAnsi="Calibri" w:cs="Times New Roman"/>
          <w:lang w:eastAsia="fr-FR"/>
        </w:rPr>
        <w:t xml:space="preserve">La constitution du dossier est différente selon qu’il s’agit d’une personne physique ou d’une personne morale. </w:t>
      </w:r>
    </w:p>
    <w:p w:rsidR="00EC5469" w:rsidRPr="00C6349A" w:rsidRDefault="00EC5469" w:rsidP="00C6349A">
      <w:pPr>
        <w:pStyle w:val="Paragraphedeliste"/>
        <w:numPr>
          <w:ilvl w:val="0"/>
          <w:numId w:val="35"/>
        </w:numPr>
        <w:spacing w:after="0" w:line="240" w:lineRule="auto"/>
        <w:jc w:val="both"/>
        <w:rPr>
          <w:rFonts w:ascii="Calibri" w:eastAsia="Times New Roman" w:hAnsi="Calibri" w:cs="Times New Roman"/>
          <w:lang w:eastAsia="fr-FR"/>
        </w:rPr>
      </w:pPr>
      <w:r w:rsidRPr="00C6349A">
        <w:rPr>
          <w:rFonts w:ascii="Calibri" w:eastAsia="Times New Roman" w:hAnsi="Calibri" w:cs="Times New Roman"/>
          <w:b/>
          <w:lang w:eastAsia="fr-FR"/>
        </w:rPr>
        <w:t>Pour les personnes physique</w:t>
      </w:r>
      <w:r w:rsidR="00C6349A" w:rsidRPr="00C6349A">
        <w:rPr>
          <w:rFonts w:ascii="Calibri" w:eastAsia="Times New Roman" w:hAnsi="Calibri" w:cs="Times New Roman"/>
          <w:b/>
          <w:lang w:eastAsia="fr-FR"/>
        </w:rPr>
        <w:t>s</w:t>
      </w:r>
      <w:r w:rsidRPr="00C6349A">
        <w:rPr>
          <w:rFonts w:ascii="Calibri" w:eastAsia="Times New Roman" w:hAnsi="Calibri" w:cs="Times New Roman"/>
          <w:b/>
          <w:lang w:eastAsia="fr-FR"/>
        </w:rPr>
        <w:t>/</w:t>
      </w:r>
      <w:r w:rsidRPr="00C6349A">
        <w:rPr>
          <w:rFonts w:ascii="Calibri" w:eastAsia="Times New Roman" w:hAnsi="Calibri" w:cs="Times New Roman"/>
          <w:b/>
          <w:bCs/>
          <w:color w:val="00B050"/>
          <w:lang w:eastAsia="fr-FR"/>
        </w:rPr>
        <w:t xml:space="preserve">entreprises </w:t>
      </w:r>
      <w:r w:rsidR="00C6349A" w:rsidRPr="00C6349A">
        <w:rPr>
          <w:rFonts w:ascii="Calibri" w:eastAsia="Times New Roman" w:hAnsi="Calibri" w:cs="Times New Roman"/>
          <w:b/>
          <w:bCs/>
          <w:color w:val="00B050"/>
          <w:lang w:eastAsia="fr-FR"/>
        </w:rPr>
        <w:t>individuelles</w:t>
      </w:r>
      <w:r w:rsidR="00C6349A" w:rsidRPr="00C6349A">
        <w:rPr>
          <w:rFonts w:ascii="Calibri" w:eastAsia="Times New Roman" w:hAnsi="Calibri" w:cs="Times New Roman"/>
          <w:b/>
          <w:lang w:eastAsia="fr-FR"/>
        </w:rPr>
        <w:t xml:space="preserve">, </w:t>
      </w:r>
      <w:r w:rsidRPr="00C6349A">
        <w:rPr>
          <w:rFonts w:ascii="Calibri" w:eastAsia="Times New Roman" w:hAnsi="Calibri" w:cs="Times New Roman"/>
          <w:b/>
          <w:lang w:eastAsia="fr-FR"/>
        </w:rPr>
        <w:t>les documents à fournir lors de la demande sont</w:t>
      </w:r>
      <w:r w:rsidRPr="00C6349A">
        <w:rPr>
          <w:rFonts w:ascii="Calibri" w:eastAsia="Times New Roman" w:hAnsi="Calibri" w:cs="Times New Roman"/>
          <w:lang w:eastAsia="fr-FR"/>
        </w:rPr>
        <w:t xml:space="preserve"> : </w:t>
      </w:r>
    </w:p>
    <w:p w:rsidR="00EC5469" w:rsidRPr="00EC5469" w:rsidRDefault="00EC5469" w:rsidP="00C6349A">
      <w:pPr>
        <w:numPr>
          <w:ilvl w:val="0"/>
          <w:numId w:val="36"/>
        </w:numPr>
        <w:tabs>
          <w:tab w:val="left" w:pos="3969"/>
        </w:tabs>
        <w:spacing w:after="0" w:line="240" w:lineRule="auto"/>
        <w:jc w:val="both"/>
        <w:textAlignment w:val="center"/>
        <w:rPr>
          <w:rFonts w:ascii="Times New Roman" w:eastAsia="Times New Roman" w:hAnsi="Times New Roman" w:cs="Times New Roman"/>
          <w:sz w:val="24"/>
          <w:szCs w:val="24"/>
          <w:lang w:eastAsia="fr-FR"/>
        </w:rPr>
      </w:pPr>
      <w:r w:rsidRPr="00EC5469">
        <w:rPr>
          <w:rFonts w:ascii="Calibri" w:eastAsia="Times New Roman" w:hAnsi="Calibri" w:cs="Times New Roman"/>
          <w:lang w:eastAsia="fr-FR"/>
        </w:rPr>
        <w:t xml:space="preserve">Demande d’autorisation (CERFA n° </w:t>
      </w:r>
      <w:r w:rsidR="00E556AA">
        <w:rPr>
          <w:rFonts w:ascii="Calibri" w:eastAsia="Times New Roman" w:hAnsi="Calibri" w:cs="Times New Roman"/>
          <w:lang w:eastAsia="fr-FR"/>
        </w:rPr>
        <w:t>15783</w:t>
      </w:r>
      <w:r w:rsidRPr="00EC5469">
        <w:rPr>
          <w:rFonts w:ascii="Calibri" w:eastAsia="Times New Roman" w:hAnsi="Calibri" w:cs="Times New Roman"/>
          <w:lang w:eastAsia="fr-FR"/>
        </w:rPr>
        <w:t>*0</w:t>
      </w:r>
      <w:r w:rsidR="00E556AA">
        <w:rPr>
          <w:rFonts w:ascii="Calibri" w:eastAsia="Times New Roman" w:hAnsi="Calibri" w:cs="Times New Roman"/>
          <w:lang w:eastAsia="fr-FR"/>
        </w:rPr>
        <w:t>3</w:t>
      </w:r>
      <w:r w:rsidRPr="00EC5469">
        <w:rPr>
          <w:rFonts w:ascii="Calibri" w:eastAsia="Times New Roman" w:hAnsi="Calibri" w:cs="Times New Roman"/>
          <w:lang w:eastAsia="fr-FR"/>
        </w:rPr>
        <w:t>) ;</w:t>
      </w:r>
    </w:p>
    <w:p w:rsidR="00EC5469" w:rsidRPr="00EC5469" w:rsidRDefault="00EC5469" w:rsidP="00C6349A">
      <w:pPr>
        <w:numPr>
          <w:ilvl w:val="0"/>
          <w:numId w:val="36"/>
        </w:numPr>
        <w:tabs>
          <w:tab w:val="left" w:pos="3969"/>
        </w:tabs>
        <w:spacing w:after="0" w:line="240" w:lineRule="auto"/>
        <w:jc w:val="both"/>
        <w:textAlignment w:val="center"/>
        <w:rPr>
          <w:rFonts w:ascii="Times New Roman" w:eastAsia="Times New Roman" w:hAnsi="Times New Roman" w:cs="Times New Roman"/>
          <w:sz w:val="24"/>
          <w:szCs w:val="24"/>
          <w:lang w:eastAsia="fr-FR"/>
        </w:rPr>
      </w:pPr>
      <w:r w:rsidRPr="00EC5469">
        <w:rPr>
          <w:rFonts w:ascii="Calibri" w:eastAsia="Times New Roman" w:hAnsi="Calibri" w:cs="Times New Roman"/>
          <w:lang w:eastAsia="fr-FR"/>
        </w:rPr>
        <w:t>Photocopie de la carte nationale d’identité ou du passeport ;</w:t>
      </w:r>
    </w:p>
    <w:p w:rsidR="00EC5469" w:rsidRPr="00EC5469" w:rsidRDefault="00EC5469" w:rsidP="00C6349A">
      <w:pPr>
        <w:numPr>
          <w:ilvl w:val="0"/>
          <w:numId w:val="36"/>
        </w:numPr>
        <w:tabs>
          <w:tab w:val="left" w:pos="3969"/>
        </w:tabs>
        <w:spacing w:after="0" w:line="240" w:lineRule="auto"/>
        <w:jc w:val="both"/>
        <w:textAlignment w:val="center"/>
        <w:rPr>
          <w:rFonts w:ascii="Times New Roman" w:eastAsia="Times New Roman" w:hAnsi="Times New Roman" w:cs="Times New Roman"/>
          <w:sz w:val="24"/>
          <w:szCs w:val="24"/>
          <w:lang w:eastAsia="fr-FR"/>
        </w:rPr>
      </w:pPr>
      <w:r w:rsidRPr="00EC5469">
        <w:rPr>
          <w:rFonts w:ascii="Calibri" w:eastAsia="Times New Roman" w:hAnsi="Calibri" w:cs="Times New Roman"/>
          <w:lang w:eastAsia="fr-FR"/>
        </w:rPr>
        <w:t>Extrait d’inscription au registre du commerce et des sociétés daté de moins de 2 mois ;</w:t>
      </w:r>
    </w:p>
    <w:p w:rsidR="00EC5469" w:rsidRPr="00EC5469" w:rsidRDefault="00EC5469" w:rsidP="00C6349A">
      <w:pPr>
        <w:numPr>
          <w:ilvl w:val="0"/>
          <w:numId w:val="36"/>
        </w:numPr>
        <w:tabs>
          <w:tab w:val="left" w:pos="3969"/>
        </w:tabs>
        <w:spacing w:after="0" w:line="240" w:lineRule="auto"/>
        <w:jc w:val="both"/>
        <w:textAlignment w:val="center"/>
        <w:rPr>
          <w:rFonts w:ascii="Times New Roman" w:eastAsia="Times New Roman" w:hAnsi="Times New Roman" w:cs="Times New Roman"/>
          <w:sz w:val="24"/>
          <w:szCs w:val="24"/>
          <w:lang w:eastAsia="fr-FR"/>
        </w:rPr>
      </w:pPr>
      <w:r w:rsidRPr="00EC5469">
        <w:rPr>
          <w:rFonts w:ascii="Calibri" w:eastAsia="Times New Roman" w:hAnsi="Calibri" w:cs="Times New Roman"/>
          <w:lang w:eastAsia="fr-FR"/>
        </w:rPr>
        <w:t>Pour les ressortissants étrangers, photocopie du passeport ou du titre de séjour et document équivalent au bulletin n°2 du casier judiciaire</w:t>
      </w:r>
    </w:p>
    <w:p w:rsidR="00EC5469" w:rsidRPr="00EC5469" w:rsidRDefault="00EC5469" w:rsidP="007C3CC6">
      <w:pPr>
        <w:spacing w:after="0" w:line="240" w:lineRule="auto"/>
        <w:ind w:left="540"/>
        <w:jc w:val="both"/>
        <w:rPr>
          <w:rFonts w:ascii="Calibri" w:eastAsia="Times New Roman" w:hAnsi="Calibri" w:cs="Times New Roman"/>
          <w:lang w:eastAsia="fr-FR"/>
        </w:rPr>
      </w:pPr>
      <w:r w:rsidRPr="00EC5469">
        <w:rPr>
          <w:rFonts w:ascii="Calibri" w:eastAsia="Times New Roman" w:hAnsi="Calibri" w:cs="Times New Roman"/>
          <w:lang w:eastAsia="fr-FR"/>
        </w:rPr>
        <w:t>  </w:t>
      </w:r>
    </w:p>
    <w:p w:rsidR="00EC5469" w:rsidRPr="00C6349A" w:rsidRDefault="00EC5469" w:rsidP="00C6349A">
      <w:pPr>
        <w:pStyle w:val="Paragraphedeliste"/>
        <w:numPr>
          <w:ilvl w:val="0"/>
          <w:numId w:val="35"/>
        </w:numPr>
        <w:spacing w:after="0" w:line="240" w:lineRule="auto"/>
        <w:jc w:val="both"/>
        <w:rPr>
          <w:rFonts w:ascii="Calibri" w:eastAsia="Times New Roman" w:hAnsi="Calibri" w:cs="Times New Roman"/>
          <w:b/>
          <w:lang w:eastAsia="fr-FR"/>
        </w:rPr>
      </w:pPr>
      <w:r w:rsidRPr="00C6349A">
        <w:rPr>
          <w:rFonts w:ascii="Calibri" w:eastAsia="Times New Roman" w:hAnsi="Calibri" w:cs="Times New Roman"/>
          <w:b/>
          <w:lang w:eastAsia="fr-FR"/>
        </w:rPr>
        <w:t>Pour les personnes morales, les documents à fournir lors de la demande sont :</w:t>
      </w:r>
    </w:p>
    <w:p w:rsidR="00EC5469" w:rsidRPr="00C6349A" w:rsidRDefault="00EC5469" w:rsidP="00C6349A">
      <w:pPr>
        <w:numPr>
          <w:ilvl w:val="0"/>
          <w:numId w:val="36"/>
        </w:numPr>
        <w:tabs>
          <w:tab w:val="left" w:pos="3969"/>
        </w:tabs>
        <w:spacing w:after="0" w:line="240" w:lineRule="auto"/>
        <w:jc w:val="both"/>
        <w:textAlignment w:val="center"/>
        <w:rPr>
          <w:rFonts w:ascii="Calibri" w:eastAsia="Times New Roman" w:hAnsi="Calibri" w:cs="Times New Roman"/>
          <w:lang w:eastAsia="fr-FR"/>
        </w:rPr>
      </w:pPr>
      <w:r w:rsidRPr="00EC5469">
        <w:rPr>
          <w:rFonts w:ascii="Calibri" w:eastAsia="Times New Roman" w:hAnsi="Calibri" w:cs="Times New Roman"/>
          <w:lang w:eastAsia="fr-FR"/>
        </w:rPr>
        <w:t>Demande d’autorisation (CERFA n° 1578</w:t>
      </w:r>
      <w:r w:rsidR="00CE6EAB">
        <w:rPr>
          <w:rFonts w:ascii="Calibri" w:eastAsia="Times New Roman" w:hAnsi="Calibri" w:cs="Times New Roman"/>
          <w:lang w:eastAsia="fr-FR"/>
        </w:rPr>
        <w:t>2</w:t>
      </w:r>
      <w:r w:rsidRPr="00EC5469">
        <w:rPr>
          <w:rFonts w:ascii="Calibri" w:eastAsia="Times New Roman" w:hAnsi="Calibri" w:cs="Times New Roman"/>
          <w:lang w:eastAsia="fr-FR"/>
        </w:rPr>
        <w:t>*0</w:t>
      </w:r>
      <w:r w:rsidR="00E556AA">
        <w:rPr>
          <w:rFonts w:ascii="Calibri" w:eastAsia="Times New Roman" w:hAnsi="Calibri" w:cs="Times New Roman"/>
          <w:lang w:eastAsia="fr-FR"/>
        </w:rPr>
        <w:t>2</w:t>
      </w:r>
      <w:r w:rsidRPr="00EC5469">
        <w:rPr>
          <w:rFonts w:ascii="Calibri" w:eastAsia="Times New Roman" w:hAnsi="Calibri" w:cs="Times New Roman"/>
          <w:lang w:eastAsia="fr-FR"/>
        </w:rPr>
        <w:t xml:space="preserve">) </w:t>
      </w:r>
    </w:p>
    <w:p w:rsidR="00EC5469" w:rsidRPr="00C6349A" w:rsidRDefault="00EC5469" w:rsidP="00C6349A">
      <w:pPr>
        <w:numPr>
          <w:ilvl w:val="0"/>
          <w:numId w:val="36"/>
        </w:numPr>
        <w:tabs>
          <w:tab w:val="left" w:pos="3969"/>
        </w:tabs>
        <w:spacing w:after="0" w:line="240" w:lineRule="auto"/>
        <w:jc w:val="both"/>
        <w:textAlignment w:val="center"/>
        <w:rPr>
          <w:rFonts w:ascii="Calibri" w:eastAsia="Times New Roman" w:hAnsi="Calibri" w:cs="Times New Roman"/>
          <w:lang w:eastAsia="fr-FR"/>
        </w:rPr>
      </w:pPr>
      <w:r w:rsidRPr="00EC5469">
        <w:rPr>
          <w:rFonts w:ascii="Calibri" w:eastAsia="Times New Roman" w:hAnsi="Calibri" w:cs="Times New Roman"/>
          <w:lang w:eastAsia="fr-FR"/>
        </w:rPr>
        <w:t>Photocopie de la carte nationale d’identité ou du passeport :</w:t>
      </w:r>
    </w:p>
    <w:p w:rsidR="00EC5469" w:rsidRPr="00EC5469" w:rsidRDefault="00EC5469" w:rsidP="00C6349A">
      <w:pPr>
        <w:numPr>
          <w:ilvl w:val="2"/>
          <w:numId w:val="37"/>
        </w:numPr>
        <w:spacing w:after="0" w:line="240" w:lineRule="auto"/>
        <w:jc w:val="both"/>
        <w:textAlignment w:val="center"/>
        <w:rPr>
          <w:rFonts w:ascii="Times New Roman" w:eastAsia="Times New Roman" w:hAnsi="Times New Roman" w:cs="Times New Roman"/>
          <w:sz w:val="24"/>
          <w:szCs w:val="24"/>
          <w:lang w:eastAsia="fr-FR"/>
        </w:rPr>
      </w:pPr>
      <w:r w:rsidRPr="00EC5469">
        <w:rPr>
          <w:rFonts w:ascii="Calibri" w:eastAsia="Times New Roman" w:hAnsi="Calibri" w:cs="Times New Roman"/>
          <w:u w:val="single"/>
          <w:lang w:eastAsia="fr-FR"/>
        </w:rPr>
        <w:t>pour les sociétés individuelles</w:t>
      </w:r>
      <w:r w:rsidRPr="00EC5469">
        <w:rPr>
          <w:rFonts w:ascii="Calibri" w:eastAsia="Times New Roman" w:hAnsi="Calibri" w:cs="Times New Roman"/>
          <w:lang w:eastAsia="fr-FR"/>
        </w:rPr>
        <w:t xml:space="preserve"> : du demandeur</w:t>
      </w:r>
    </w:p>
    <w:p w:rsidR="00EC5469" w:rsidRPr="00EC5469" w:rsidRDefault="00EC5469" w:rsidP="00C6349A">
      <w:pPr>
        <w:numPr>
          <w:ilvl w:val="2"/>
          <w:numId w:val="37"/>
        </w:numPr>
        <w:spacing w:after="0" w:line="240" w:lineRule="auto"/>
        <w:jc w:val="both"/>
        <w:textAlignment w:val="center"/>
        <w:rPr>
          <w:rFonts w:ascii="Times New Roman" w:eastAsia="Times New Roman" w:hAnsi="Times New Roman" w:cs="Times New Roman"/>
          <w:sz w:val="24"/>
          <w:szCs w:val="24"/>
          <w:lang w:eastAsia="fr-FR"/>
        </w:rPr>
      </w:pPr>
      <w:r w:rsidRPr="00EC5469">
        <w:rPr>
          <w:rFonts w:ascii="Calibri" w:eastAsia="Times New Roman" w:hAnsi="Calibri" w:cs="Times New Roman"/>
          <w:u w:val="single"/>
          <w:lang w:eastAsia="fr-FR"/>
        </w:rPr>
        <w:t>pour les sociétés de personnes</w:t>
      </w:r>
      <w:r w:rsidRPr="00EC5469">
        <w:rPr>
          <w:rFonts w:ascii="Calibri" w:eastAsia="Times New Roman" w:hAnsi="Calibri" w:cs="Times New Roman"/>
          <w:lang w:eastAsia="fr-FR"/>
        </w:rPr>
        <w:t xml:space="preserve"> : des associés en nom, des commandités, des commanditaires et des gérants</w:t>
      </w:r>
    </w:p>
    <w:p w:rsidR="00EC5469" w:rsidRPr="00EC5469" w:rsidRDefault="00EC5469" w:rsidP="00C6349A">
      <w:pPr>
        <w:numPr>
          <w:ilvl w:val="2"/>
          <w:numId w:val="37"/>
        </w:numPr>
        <w:spacing w:after="0" w:line="240" w:lineRule="auto"/>
        <w:jc w:val="both"/>
        <w:textAlignment w:val="center"/>
        <w:rPr>
          <w:rFonts w:ascii="Times New Roman" w:eastAsia="Times New Roman" w:hAnsi="Times New Roman" w:cs="Times New Roman"/>
          <w:sz w:val="24"/>
          <w:szCs w:val="24"/>
          <w:lang w:eastAsia="fr-FR"/>
        </w:rPr>
      </w:pPr>
      <w:r w:rsidRPr="00EC5469">
        <w:rPr>
          <w:rFonts w:ascii="Calibri" w:eastAsia="Times New Roman" w:hAnsi="Calibri" w:cs="Times New Roman"/>
          <w:u w:val="single"/>
          <w:lang w:eastAsia="fr-FR"/>
        </w:rPr>
        <w:t>pour les sociétés par actions et les sociétés à responsabilité limitée</w:t>
      </w:r>
      <w:r w:rsidRPr="00EC5469">
        <w:rPr>
          <w:rFonts w:ascii="Calibri" w:eastAsia="Times New Roman" w:hAnsi="Calibri" w:cs="Times New Roman"/>
          <w:lang w:eastAsia="fr-FR"/>
        </w:rPr>
        <w:t>: des gérants, des commandités, des membres du conseil d'administration, du directoire ou du conseil de surveillance, des actionnaires ou des titulaires des parts sociales</w:t>
      </w:r>
    </w:p>
    <w:p w:rsidR="00EC5469" w:rsidRPr="00EC5469" w:rsidRDefault="00EC5469" w:rsidP="00C6349A">
      <w:pPr>
        <w:numPr>
          <w:ilvl w:val="2"/>
          <w:numId w:val="37"/>
        </w:numPr>
        <w:spacing w:after="0" w:line="240" w:lineRule="auto"/>
        <w:jc w:val="both"/>
        <w:textAlignment w:val="center"/>
        <w:rPr>
          <w:rFonts w:ascii="Times New Roman" w:eastAsia="Times New Roman" w:hAnsi="Times New Roman" w:cs="Times New Roman"/>
          <w:sz w:val="24"/>
          <w:szCs w:val="24"/>
          <w:lang w:eastAsia="fr-FR"/>
        </w:rPr>
      </w:pPr>
      <w:r w:rsidRPr="00EC5469">
        <w:rPr>
          <w:rFonts w:ascii="Calibri" w:eastAsia="Times New Roman" w:hAnsi="Calibri" w:cs="Times New Roman"/>
          <w:u w:val="single"/>
          <w:lang w:eastAsia="fr-FR"/>
        </w:rPr>
        <w:t>pour les groupements d’intérêt économique</w:t>
      </w:r>
      <w:r w:rsidRPr="00EC5469">
        <w:rPr>
          <w:rFonts w:ascii="Calibri" w:eastAsia="Times New Roman" w:hAnsi="Calibri" w:cs="Times New Roman"/>
          <w:lang w:eastAsia="fr-FR"/>
        </w:rPr>
        <w:t xml:space="preserve"> : du ou des administrateurs et des titulaires des parts du capital</w:t>
      </w:r>
    </w:p>
    <w:p w:rsidR="00EC5469" w:rsidRPr="00C6349A" w:rsidRDefault="00EC5469" w:rsidP="00C6349A">
      <w:pPr>
        <w:numPr>
          <w:ilvl w:val="0"/>
          <w:numId w:val="36"/>
        </w:numPr>
        <w:tabs>
          <w:tab w:val="left" w:pos="3969"/>
        </w:tabs>
        <w:spacing w:after="0" w:line="240" w:lineRule="auto"/>
        <w:jc w:val="both"/>
        <w:textAlignment w:val="center"/>
        <w:rPr>
          <w:rFonts w:ascii="Calibri" w:eastAsia="Times New Roman" w:hAnsi="Calibri" w:cs="Times New Roman"/>
          <w:lang w:eastAsia="fr-FR"/>
        </w:rPr>
      </w:pPr>
      <w:r w:rsidRPr="00EC5469">
        <w:rPr>
          <w:rFonts w:ascii="Calibri" w:eastAsia="Times New Roman" w:hAnsi="Calibri" w:cs="Times New Roman"/>
          <w:lang w:eastAsia="fr-FR"/>
        </w:rPr>
        <w:t xml:space="preserve">Extrait d’inscription au registre du commerce et des sociétés daté de moins de 2 mois ; </w:t>
      </w:r>
    </w:p>
    <w:p w:rsidR="00EC5469" w:rsidRPr="00C6349A" w:rsidRDefault="00EC5469" w:rsidP="00C6349A">
      <w:pPr>
        <w:numPr>
          <w:ilvl w:val="0"/>
          <w:numId w:val="36"/>
        </w:numPr>
        <w:tabs>
          <w:tab w:val="left" w:pos="3969"/>
        </w:tabs>
        <w:spacing w:after="0" w:line="240" w:lineRule="auto"/>
        <w:jc w:val="both"/>
        <w:textAlignment w:val="center"/>
        <w:rPr>
          <w:rFonts w:ascii="Calibri" w:eastAsia="Times New Roman" w:hAnsi="Calibri" w:cs="Times New Roman"/>
          <w:lang w:eastAsia="fr-FR"/>
        </w:rPr>
      </w:pPr>
      <w:r w:rsidRPr="00EC5469">
        <w:rPr>
          <w:rFonts w:ascii="Calibri" w:eastAsia="Times New Roman" w:hAnsi="Calibri" w:cs="Times New Roman"/>
          <w:lang w:eastAsia="fr-FR"/>
        </w:rPr>
        <w:t>Photocopie des statuts à jour ;</w:t>
      </w:r>
    </w:p>
    <w:p w:rsidR="00EC5469" w:rsidRPr="00C6349A" w:rsidRDefault="00EC5469" w:rsidP="00C6349A">
      <w:pPr>
        <w:numPr>
          <w:ilvl w:val="0"/>
          <w:numId w:val="36"/>
        </w:numPr>
        <w:tabs>
          <w:tab w:val="left" w:pos="3969"/>
        </w:tabs>
        <w:spacing w:after="0" w:line="240" w:lineRule="auto"/>
        <w:jc w:val="both"/>
        <w:textAlignment w:val="center"/>
        <w:rPr>
          <w:rFonts w:ascii="Calibri" w:eastAsia="Times New Roman" w:hAnsi="Calibri" w:cs="Times New Roman"/>
          <w:lang w:eastAsia="fr-FR"/>
        </w:rPr>
      </w:pPr>
      <w:r w:rsidRPr="00EC5469">
        <w:rPr>
          <w:rFonts w:ascii="Calibri" w:eastAsia="Times New Roman" w:hAnsi="Calibri" w:cs="Times New Roman"/>
          <w:lang w:eastAsia="fr-FR"/>
        </w:rPr>
        <w:t>Pour les ressortissants étrangers, photocopie du passeport ou du titre de séjour et document équivalent au bulletin n°2 du casier judiciaire</w:t>
      </w:r>
    </w:p>
    <w:p w:rsidR="00EC5469" w:rsidRPr="00C6349A" w:rsidRDefault="00EC5469" w:rsidP="00C6349A">
      <w:pPr>
        <w:numPr>
          <w:ilvl w:val="0"/>
          <w:numId w:val="36"/>
        </w:numPr>
        <w:tabs>
          <w:tab w:val="left" w:pos="3969"/>
        </w:tabs>
        <w:spacing w:after="0" w:line="240" w:lineRule="auto"/>
        <w:jc w:val="both"/>
        <w:textAlignment w:val="center"/>
        <w:rPr>
          <w:rFonts w:ascii="Calibri" w:eastAsia="Times New Roman" w:hAnsi="Calibri" w:cs="Times New Roman"/>
          <w:lang w:eastAsia="fr-FR"/>
        </w:rPr>
      </w:pPr>
      <w:r w:rsidRPr="00C6349A">
        <w:rPr>
          <w:rFonts w:ascii="Calibri" w:eastAsia="Times New Roman" w:hAnsi="Calibri" w:cs="Times New Roman"/>
          <w:lang w:eastAsia="fr-FR"/>
        </w:rPr>
        <w:t> </w:t>
      </w:r>
      <w:r w:rsidR="001D2EB3" w:rsidRPr="00C6349A">
        <w:rPr>
          <w:rFonts w:ascii="Calibri" w:eastAsia="Times New Roman" w:hAnsi="Calibri" w:cs="Times New Roman"/>
          <w:lang w:eastAsia="fr-FR"/>
        </w:rPr>
        <w:t xml:space="preserve">Lorsque la catégorie </w:t>
      </w:r>
      <w:r w:rsidRPr="00C6349A">
        <w:rPr>
          <w:rFonts w:ascii="Calibri" w:eastAsia="Times New Roman" w:hAnsi="Calibri" w:cs="Times New Roman"/>
          <w:lang w:eastAsia="fr-FR"/>
        </w:rPr>
        <w:t>A2 § 1</w:t>
      </w:r>
      <w:r w:rsidR="001D2EB3" w:rsidRPr="00C6349A">
        <w:rPr>
          <w:rFonts w:ascii="Calibri" w:eastAsia="Times New Roman" w:hAnsi="Calibri" w:cs="Times New Roman"/>
          <w:lang w:eastAsia="fr-FR"/>
        </w:rPr>
        <w:t xml:space="preserve"> est sollicitée,</w:t>
      </w:r>
      <w:r w:rsidRPr="00C6349A">
        <w:rPr>
          <w:rFonts w:ascii="Calibri" w:eastAsia="Times New Roman" w:hAnsi="Calibri" w:cs="Times New Roman"/>
          <w:lang w:eastAsia="fr-FR"/>
        </w:rPr>
        <w:t xml:space="preserve"> un document établissant les compétences professionnelles (dans les métiers de l’armurerie ou de l’armement) :</w:t>
      </w:r>
    </w:p>
    <w:p w:rsidR="00EC5469" w:rsidRPr="00EC5469" w:rsidRDefault="00EC5469" w:rsidP="00C6349A">
      <w:pPr>
        <w:numPr>
          <w:ilvl w:val="2"/>
          <w:numId w:val="38"/>
        </w:numPr>
        <w:spacing w:after="0" w:line="240" w:lineRule="auto"/>
        <w:jc w:val="both"/>
        <w:textAlignment w:val="center"/>
        <w:rPr>
          <w:rFonts w:ascii="Times New Roman" w:eastAsia="Times New Roman" w:hAnsi="Times New Roman" w:cs="Times New Roman"/>
          <w:sz w:val="24"/>
          <w:szCs w:val="24"/>
          <w:lang w:eastAsia="fr-FR"/>
        </w:rPr>
      </w:pPr>
      <w:r w:rsidRPr="00EC5469">
        <w:rPr>
          <w:rFonts w:ascii="Calibri" w:eastAsia="Times New Roman" w:hAnsi="Calibri" w:cs="Times New Roman"/>
          <w:lang w:eastAsia="fr-FR"/>
        </w:rPr>
        <w:t>soit le demandeur a le diplôme sanctionnant une compétence professionnelle dans les métiers de l’armurerie ou de l’armement.</w:t>
      </w:r>
    </w:p>
    <w:p w:rsidR="00EC5469" w:rsidRPr="00EC5469" w:rsidRDefault="00EC5469" w:rsidP="00C6349A">
      <w:pPr>
        <w:numPr>
          <w:ilvl w:val="2"/>
          <w:numId w:val="38"/>
        </w:numPr>
        <w:spacing w:after="0" w:line="240" w:lineRule="auto"/>
        <w:jc w:val="both"/>
        <w:textAlignment w:val="center"/>
        <w:rPr>
          <w:rFonts w:ascii="Times New Roman" w:eastAsia="Times New Roman" w:hAnsi="Times New Roman" w:cs="Times New Roman"/>
          <w:sz w:val="24"/>
          <w:szCs w:val="24"/>
          <w:lang w:eastAsia="fr-FR"/>
        </w:rPr>
      </w:pPr>
      <w:r w:rsidRPr="00EC5469">
        <w:rPr>
          <w:rFonts w:ascii="Calibri" w:eastAsia="Times New Roman" w:hAnsi="Calibri" w:cs="Times New Roman"/>
          <w:lang w:eastAsia="fr-FR"/>
        </w:rPr>
        <w:t>soit il a un diplôme de niveau IV en complément d’une expérience professionnelle d’au moins dix ans dans les métiers de l’armurerie ou de l’armement. Dans ce cas, l’entreprise doit comporter dans son personnel au moins un salarié titulaire d’un diplôme sanctionnant une compétence professionnelle dans les métiers de l’armement</w:t>
      </w:r>
    </w:p>
    <w:p w:rsidR="00EC5469" w:rsidRPr="00EC5469" w:rsidRDefault="00EC5469" w:rsidP="007C3CC6">
      <w:pPr>
        <w:spacing w:after="0" w:line="240" w:lineRule="auto"/>
        <w:ind w:left="540"/>
        <w:jc w:val="both"/>
        <w:rPr>
          <w:rFonts w:ascii="Calibri" w:eastAsia="Times New Roman" w:hAnsi="Calibri" w:cs="Times New Roman"/>
          <w:lang w:eastAsia="fr-FR"/>
        </w:rPr>
      </w:pPr>
      <w:r w:rsidRPr="00EC5469">
        <w:rPr>
          <w:rFonts w:ascii="Calibri" w:eastAsia="Times New Roman" w:hAnsi="Calibri" w:cs="Times New Roman"/>
          <w:lang w:eastAsia="fr-FR"/>
        </w:rPr>
        <w:lastRenderedPageBreak/>
        <w:t> </w:t>
      </w:r>
    </w:p>
    <w:p w:rsidR="00C6349A" w:rsidRDefault="00C6349A" w:rsidP="007C3CC6">
      <w:pPr>
        <w:spacing w:after="120" w:line="240" w:lineRule="auto"/>
        <w:ind w:left="360"/>
        <w:jc w:val="both"/>
        <w:textAlignment w:val="center"/>
        <w:rPr>
          <w:rFonts w:ascii="Calibri" w:eastAsia="Times New Roman" w:hAnsi="Calibri" w:cs="Times New Roman"/>
          <w:b/>
          <w:bCs/>
          <w:color w:val="4F81BD"/>
          <w:lang w:eastAsia="fr-FR"/>
        </w:rPr>
      </w:pPr>
    </w:p>
    <w:p w:rsidR="00FF7CC1" w:rsidRPr="00E064B8" w:rsidRDefault="00E064B8" w:rsidP="007C3CC6">
      <w:pPr>
        <w:spacing w:after="120" w:line="240" w:lineRule="auto"/>
        <w:ind w:left="360"/>
        <w:jc w:val="both"/>
        <w:textAlignment w:val="center"/>
        <w:rPr>
          <w:rFonts w:ascii="Calibri" w:eastAsia="Times New Roman" w:hAnsi="Calibri" w:cs="Times New Roman"/>
          <w:b/>
          <w:bCs/>
          <w:color w:val="4F81BD"/>
          <w:lang w:eastAsia="fr-FR"/>
        </w:rPr>
      </w:pPr>
      <w:r w:rsidRPr="00E064B8">
        <w:rPr>
          <w:rFonts w:ascii="Calibri" w:eastAsia="Times New Roman" w:hAnsi="Calibri" w:cs="Times New Roman"/>
          <w:b/>
          <w:bCs/>
          <w:color w:val="4F81BD"/>
          <w:lang w:eastAsia="fr-FR"/>
        </w:rPr>
        <w:t xml:space="preserve">En cas de </w:t>
      </w:r>
      <w:r w:rsidR="001D2EB3">
        <w:rPr>
          <w:rFonts w:ascii="Calibri" w:eastAsia="Times New Roman" w:hAnsi="Calibri" w:cs="Times New Roman"/>
          <w:b/>
          <w:bCs/>
          <w:color w:val="4F81BD"/>
          <w:lang w:eastAsia="fr-FR"/>
        </w:rPr>
        <w:t>demande de m</w:t>
      </w:r>
      <w:r w:rsidRPr="00E064B8">
        <w:rPr>
          <w:rFonts w:ascii="Calibri" w:eastAsia="Times New Roman" w:hAnsi="Calibri" w:cs="Times New Roman"/>
          <w:b/>
          <w:bCs/>
          <w:color w:val="4F81BD"/>
          <w:lang w:eastAsia="fr-FR"/>
        </w:rPr>
        <w:t xml:space="preserve">odification </w:t>
      </w:r>
      <w:r>
        <w:rPr>
          <w:rFonts w:ascii="Calibri" w:eastAsia="Times New Roman" w:hAnsi="Calibri" w:cs="Times New Roman"/>
          <w:b/>
          <w:bCs/>
          <w:color w:val="4F81BD"/>
          <w:lang w:eastAsia="fr-FR"/>
        </w:rPr>
        <w:t xml:space="preserve">de l’autorisation </w:t>
      </w:r>
      <w:r w:rsidR="001D2EB3">
        <w:rPr>
          <w:rFonts w:ascii="Calibri" w:eastAsia="Times New Roman" w:hAnsi="Calibri" w:cs="Times New Roman"/>
          <w:b/>
          <w:bCs/>
          <w:color w:val="4F81BD"/>
          <w:lang w:eastAsia="fr-FR"/>
        </w:rPr>
        <w:t>en cours d’instruction ou en cours de validité</w:t>
      </w:r>
    </w:p>
    <w:tbl>
      <w:tblPr>
        <w:tblStyle w:val="Grilledutableau"/>
        <w:tblW w:w="9322" w:type="dxa"/>
        <w:tblLook w:val="04A0" w:firstRow="1" w:lastRow="0" w:firstColumn="1" w:lastColumn="0" w:noHBand="0" w:noVBand="1"/>
      </w:tblPr>
      <w:tblGrid>
        <w:gridCol w:w="1725"/>
        <w:gridCol w:w="7597"/>
      </w:tblGrid>
      <w:tr w:rsidR="00EC5469" w:rsidRPr="00376962" w:rsidTr="00D37171">
        <w:tc>
          <w:tcPr>
            <w:tcW w:w="1725" w:type="dxa"/>
          </w:tcPr>
          <w:p w:rsidR="00EC5469" w:rsidRPr="00376962" w:rsidRDefault="00EC5469" w:rsidP="007C3CC6">
            <w:pPr>
              <w:jc w:val="both"/>
              <w:rPr>
                <w:rFonts w:cs="Times New Roman"/>
                <w:b/>
                <w:color w:val="000000" w:themeColor="text1"/>
              </w:rPr>
            </w:pPr>
            <w:r w:rsidRPr="00376962">
              <w:rPr>
                <w:rFonts w:cs="Times New Roman"/>
                <w:b/>
                <w:color w:val="000000" w:themeColor="text1"/>
              </w:rPr>
              <w:t>Changements</w:t>
            </w:r>
          </w:p>
        </w:tc>
        <w:tc>
          <w:tcPr>
            <w:tcW w:w="7597" w:type="dxa"/>
          </w:tcPr>
          <w:p w:rsidR="00EC5469" w:rsidRPr="00376962" w:rsidRDefault="00EC5469" w:rsidP="007C3CC6">
            <w:pPr>
              <w:jc w:val="both"/>
              <w:rPr>
                <w:rFonts w:cs="Times New Roman"/>
                <w:b/>
                <w:color w:val="000000" w:themeColor="text1"/>
              </w:rPr>
            </w:pPr>
            <w:r>
              <w:rPr>
                <w:rFonts w:cs="Times New Roman"/>
                <w:b/>
                <w:color w:val="000000" w:themeColor="text1"/>
              </w:rPr>
              <w:t>Pièces à fournir</w:t>
            </w:r>
          </w:p>
        </w:tc>
      </w:tr>
      <w:tr w:rsidR="00EC5469" w:rsidRPr="00376962" w:rsidTr="00D37171">
        <w:tc>
          <w:tcPr>
            <w:tcW w:w="1725" w:type="dxa"/>
          </w:tcPr>
          <w:p w:rsidR="00EC5469" w:rsidRPr="00376962" w:rsidRDefault="00EC5469" w:rsidP="007C3CC6">
            <w:pPr>
              <w:jc w:val="both"/>
              <w:rPr>
                <w:rFonts w:cs="Times New Roman"/>
                <w:color w:val="000000" w:themeColor="text1"/>
              </w:rPr>
            </w:pPr>
            <w:r>
              <w:rPr>
                <w:rFonts w:cs="Times New Roman"/>
                <w:color w:val="000000" w:themeColor="text1"/>
              </w:rPr>
              <w:t>Composition du c</w:t>
            </w:r>
            <w:r w:rsidRPr="00376962">
              <w:rPr>
                <w:rFonts w:cs="Times New Roman"/>
                <w:color w:val="000000" w:themeColor="text1"/>
              </w:rPr>
              <w:t>onseil d’administration</w:t>
            </w:r>
          </w:p>
        </w:tc>
        <w:tc>
          <w:tcPr>
            <w:tcW w:w="7597" w:type="dxa"/>
          </w:tcPr>
          <w:p w:rsidR="00EC5469" w:rsidRDefault="00EC5469" w:rsidP="007C3CC6">
            <w:pPr>
              <w:pStyle w:val="Paragraphedeliste"/>
              <w:numPr>
                <w:ilvl w:val="0"/>
                <w:numId w:val="13"/>
              </w:numPr>
              <w:ind w:left="214" w:hanging="142"/>
              <w:jc w:val="both"/>
              <w:rPr>
                <w:rFonts w:cs="Times New Roman"/>
                <w:color w:val="000000" w:themeColor="text1"/>
              </w:rPr>
            </w:pPr>
            <w:r w:rsidRPr="00376962">
              <w:rPr>
                <w:rFonts w:cs="Times New Roman"/>
                <w:color w:val="000000" w:themeColor="text1"/>
              </w:rPr>
              <w:t xml:space="preserve">K-Bis actualisé datant de moins de 2 mois, </w:t>
            </w:r>
          </w:p>
          <w:p w:rsidR="00EC5469" w:rsidRDefault="00EC5469" w:rsidP="007C3CC6">
            <w:pPr>
              <w:pStyle w:val="Paragraphedeliste"/>
              <w:numPr>
                <w:ilvl w:val="0"/>
                <w:numId w:val="13"/>
              </w:numPr>
              <w:ind w:left="214" w:hanging="142"/>
              <w:jc w:val="both"/>
              <w:rPr>
                <w:rFonts w:cs="Times New Roman"/>
                <w:color w:val="000000" w:themeColor="text1"/>
              </w:rPr>
            </w:pPr>
            <w:r>
              <w:rPr>
                <w:rFonts w:cs="Times New Roman"/>
                <w:color w:val="000000" w:themeColor="text1"/>
              </w:rPr>
              <w:t>Carte nationale d’identité des</w:t>
            </w:r>
            <w:r w:rsidRPr="00376962">
              <w:rPr>
                <w:rFonts w:cs="Times New Roman"/>
                <w:color w:val="000000" w:themeColor="text1"/>
              </w:rPr>
              <w:t xml:space="preserve"> administrateur</w:t>
            </w:r>
            <w:r>
              <w:rPr>
                <w:rFonts w:cs="Times New Roman"/>
                <w:color w:val="000000" w:themeColor="text1"/>
              </w:rPr>
              <w:t>s concernés</w:t>
            </w:r>
            <w:r w:rsidRPr="00376962">
              <w:rPr>
                <w:rFonts w:cs="Times New Roman"/>
                <w:color w:val="000000" w:themeColor="text1"/>
              </w:rPr>
              <w:t xml:space="preserve">, </w:t>
            </w:r>
          </w:p>
          <w:p w:rsidR="00EC5469" w:rsidRPr="00376962" w:rsidRDefault="00EC5469" w:rsidP="007C3CC6">
            <w:pPr>
              <w:pStyle w:val="Paragraphedeliste"/>
              <w:numPr>
                <w:ilvl w:val="0"/>
                <w:numId w:val="13"/>
              </w:numPr>
              <w:ind w:left="214" w:hanging="142"/>
              <w:jc w:val="both"/>
              <w:rPr>
                <w:rFonts w:cs="Times New Roman"/>
                <w:color w:val="000000" w:themeColor="text1"/>
              </w:rPr>
            </w:pPr>
            <w:r>
              <w:rPr>
                <w:rFonts w:cs="Times New Roman"/>
                <w:color w:val="000000" w:themeColor="text1"/>
              </w:rPr>
              <w:t>P</w:t>
            </w:r>
            <w:r w:rsidRPr="00376962">
              <w:rPr>
                <w:rFonts w:cs="Times New Roman"/>
                <w:color w:val="000000" w:themeColor="text1"/>
              </w:rPr>
              <w:t>rocès-verbal de l’assemblée générale.</w:t>
            </w:r>
          </w:p>
        </w:tc>
      </w:tr>
      <w:tr w:rsidR="00EC5469" w:rsidRPr="00376962" w:rsidTr="00D37171">
        <w:tc>
          <w:tcPr>
            <w:tcW w:w="1725" w:type="dxa"/>
          </w:tcPr>
          <w:p w:rsidR="00EC5469" w:rsidRPr="00376962" w:rsidRDefault="00EC5469" w:rsidP="007C3CC6">
            <w:pPr>
              <w:jc w:val="both"/>
              <w:rPr>
                <w:rFonts w:cs="Times New Roman"/>
                <w:color w:val="000000" w:themeColor="text1"/>
              </w:rPr>
            </w:pPr>
            <w:r w:rsidRPr="00376962">
              <w:rPr>
                <w:rFonts w:cs="Times New Roman"/>
                <w:color w:val="000000" w:themeColor="text1"/>
              </w:rPr>
              <w:t>Raison sociale</w:t>
            </w:r>
          </w:p>
        </w:tc>
        <w:tc>
          <w:tcPr>
            <w:tcW w:w="7597" w:type="dxa"/>
          </w:tcPr>
          <w:p w:rsidR="00EC5469" w:rsidRDefault="00EC5469" w:rsidP="007C3CC6">
            <w:pPr>
              <w:pStyle w:val="Paragraphedeliste"/>
              <w:numPr>
                <w:ilvl w:val="0"/>
                <w:numId w:val="13"/>
              </w:numPr>
              <w:ind w:left="214" w:hanging="142"/>
              <w:jc w:val="both"/>
              <w:rPr>
                <w:rFonts w:cs="Times New Roman"/>
                <w:color w:val="000000" w:themeColor="text1"/>
              </w:rPr>
            </w:pPr>
            <w:r w:rsidRPr="00376962">
              <w:rPr>
                <w:rFonts w:cs="Times New Roman"/>
                <w:color w:val="000000" w:themeColor="text1"/>
              </w:rPr>
              <w:t xml:space="preserve">K-Bis actualisé datant de moins de 2 mois, </w:t>
            </w:r>
          </w:p>
          <w:p w:rsidR="00EC5469" w:rsidRDefault="00EC5469" w:rsidP="007C3CC6">
            <w:pPr>
              <w:pStyle w:val="Paragraphedeliste"/>
              <w:numPr>
                <w:ilvl w:val="0"/>
                <w:numId w:val="13"/>
              </w:numPr>
              <w:ind w:left="214" w:hanging="142"/>
              <w:jc w:val="both"/>
              <w:rPr>
                <w:rFonts w:cs="Times New Roman"/>
                <w:color w:val="000000" w:themeColor="text1"/>
              </w:rPr>
            </w:pPr>
            <w:r>
              <w:rPr>
                <w:rFonts w:cs="Times New Roman"/>
                <w:color w:val="000000" w:themeColor="text1"/>
              </w:rPr>
              <w:t>P</w:t>
            </w:r>
            <w:r w:rsidRPr="00376962">
              <w:rPr>
                <w:rFonts w:cs="Times New Roman"/>
                <w:color w:val="000000" w:themeColor="text1"/>
              </w:rPr>
              <w:t xml:space="preserve">rocès-verbal de l’assemblée générale, </w:t>
            </w:r>
          </w:p>
          <w:p w:rsidR="00EC5469" w:rsidRPr="00376962" w:rsidRDefault="00EC5469" w:rsidP="007C3CC6">
            <w:pPr>
              <w:pStyle w:val="Paragraphedeliste"/>
              <w:numPr>
                <w:ilvl w:val="0"/>
                <w:numId w:val="13"/>
              </w:numPr>
              <w:ind w:left="214" w:hanging="142"/>
              <w:jc w:val="both"/>
              <w:rPr>
                <w:rFonts w:cs="Times New Roman"/>
                <w:color w:val="000000" w:themeColor="text1"/>
              </w:rPr>
            </w:pPr>
            <w:r>
              <w:rPr>
                <w:rFonts w:cs="Times New Roman"/>
                <w:color w:val="000000" w:themeColor="text1"/>
              </w:rPr>
              <w:t>N</w:t>
            </w:r>
            <w:r w:rsidRPr="00376962">
              <w:rPr>
                <w:rFonts w:cs="Times New Roman"/>
                <w:color w:val="000000" w:themeColor="text1"/>
              </w:rPr>
              <w:t>ouveaux statuts.</w:t>
            </w:r>
          </w:p>
        </w:tc>
      </w:tr>
      <w:tr w:rsidR="00EC5469" w:rsidRPr="00376962" w:rsidTr="00E064B8">
        <w:trPr>
          <w:trHeight w:val="1214"/>
        </w:trPr>
        <w:tc>
          <w:tcPr>
            <w:tcW w:w="1725" w:type="dxa"/>
          </w:tcPr>
          <w:p w:rsidR="00EC5469" w:rsidRPr="00376962" w:rsidRDefault="00EC5469" w:rsidP="007C3CC6">
            <w:pPr>
              <w:jc w:val="both"/>
              <w:rPr>
                <w:rFonts w:cs="Times New Roman"/>
                <w:color w:val="000000" w:themeColor="text1"/>
              </w:rPr>
            </w:pPr>
            <w:r w:rsidRPr="00376962">
              <w:rPr>
                <w:rFonts w:cs="Times New Roman"/>
                <w:color w:val="000000" w:themeColor="text1"/>
              </w:rPr>
              <w:t>Adresse</w:t>
            </w:r>
          </w:p>
        </w:tc>
        <w:tc>
          <w:tcPr>
            <w:tcW w:w="7597" w:type="dxa"/>
          </w:tcPr>
          <w:p w:rsidR="00EC5469" w:rsidRPr="008D3333" w:rsidRDefault="00EC5469" w:rsidP="007C3CC6">
            <w:pPr>
              <w:pStyle w:val="Paragraphedeliste"/>
              <w:numPr>
                <w:ilvl w:val="0"/>
                <w:numId w:val="13"/>
              </w:numPr>
              <w:ind w:left="214" w:hanging="142"/>
              <w:jc w:val="both"/>
              <w:rPr>
                <w:rFonts w:cs="Times New Roman"/>
                <w:color w:val="000000" w:themeColor="text1"/>
              </w:rPr>
            </w:pPr>
            <w:r w:rsidRPr="008D3333">
              <w:rPr>
                <w:rFonts w:cs="Times New Roman"/>
                <w:color w:val="000000" w:themeColor="text1"/>
              </w:rPr>
              <w:t xml:space="preserve">K-bis actualisé datant de moins de 2 mois (dans la mesure du possible, avertir le BRSI dès que le titulaire de l’AFCI a connaissance du changement d’adresse, afin de délivrer une nouvelle </w:t>
            </w:r>
            <w:r w:rsidR="00E064B8" w:rsidRPr="008D3333">
              <w:rPr>
                <w:rFonts w:cs="Times New Roman"/>
                <w:color w:val="000000" w:themeColor="text1"/>
              </w:rPr>
              <w:t>A</w:t>
            </w:r>
            <w:r w:rsidR="00E064B8">
              <w:rPr>
                <w:rFonts w:cs="Times New Roman"/>
                <w:color w:val="000000" w:themeColor="text1"/>
              </w:rPr>
              <w:t>utorisation</w:t>
            </w:r>
            <w:r w:rsidRPr="008D3333">
              <w:rPr>
                <w:rFonts w:cs="Times New Roman"/>
                <w:color w:val="000000" w:themeColor="text1"/>
              </w:rPr>
              <w:t xml:space="preserve"> remplaçant celle devenue caduque) </w:t>
            </w:r>
          </w:p>
          <w:p w:rsidR="00EC5469" w:rsidRPr="00F47EA3" w:rsidRDefault="00EC5469" w:rsidP="007C3CC6">
            <w:pPr>
              <w:pStyle w:val="Paragraphedeliste"/>
              <w:numPr>
                <w:ilvl w:val="0"/>
                <w:numId w:val="13"/>
              </w:numPr>
              <w:ind w:left="214" w:hanging="142"/>
              <w:jc w:val="both"/>
              <w:rPr>
                <w:rFonts w:cs="Times New Roman"/>
                <w:color w:val="000000" w:themeColor="text1"/>
              </w:rPr>
            </w:pPr>
            <w:r>
              <w:rPr>
                <w:rFonts w:cs="Times New Roman"/>
                <w:color w:val="000000" w:themeColor="text1"/>
              </w:rPr>
              <w:t>P</w:t>
            </w:r>
            <w:r w:rsidRPr="008D3333">
              <w:rPr>
                <w:rFonts w:cs="Times New Roman"/>
                <w:color w:val="000000" w:themeColor="text1"/>
              </w:rPr>
              <w:t>rocès-verbal d’assemblée générale le cas échéant</w:t>
            </w:r>
          </w:p>
        </w:tc>
      </w:tr>
      <w:tr w:rsidR="00EC5469" w:rsidRPr="00376962" w:rsidTr="00D37171">
        <w:trPr>
          <w:trHeight w:val="502"/>
        </w:trPr>
        <w:tc>
          <w:tcPr>
            <w:tcW w:w="1725" w:type="dxa"/>
          </w:tcPr>
          <w:p w:rsidR="00EC5469" w:rsidRDefault="00EC5469" w:rsidP="007C3CC6">
            <w:pPr>
              <w:jc w:val="both"/>
              <w:rPr>
                <w:rFonts w:cs="Times New Roman"/>
                <w:color w:val="000000" w:themeColor="text1"/>
              </w:rPr>
            </w:pPr>
            <w:r>
              <w:rPr>
                <w:rFonts w:cs="Times New Roman"/>
                <w:color w:val="000000" w:themeColor="text1"/>
              </w:rPr>
              <w:t>Actionnariat</w:t>
            </w:r>
          </w:p>
          <w:p w:rsidR="00EC5469" w:rsidRPr="00376962" w:rsidRDefault="00EC5469" w:rsidP="007C3CC6">
            <w:pPr>
              <w:jc w:val="both"/>
              <w:rPr>
                <w:rFonts w:cs="Times New Roman"/>
                <w:color w:val="000000" w:themeColor="text1"/>
              </w:rPr>
            </w:pPr>
            <w:r>
              <w:rPr>
                <w:rFonts w:cs="Times New Roman"/>
                <w:color w:val="000000" w:themeColor="text1"/>
              </w:rPr>
              <w:t xml:space="preserve">Part sociales </w:t>
            </w:r>
          </w:p>
        </w:tc>
        <w:tc>
          <w:tcPr>
            <w:tcW w:w="7597" w:type="dxa"/>
          </w:tcPr>
          <w:p w:rsidR="00EC5469" w:rsidRPr="00F47EA3" w:rsidRDefault="00EC5469" w:rsidP="007C3CC6">
            <w:pPr>
              <w:pStyle w:val="Paragraphedeliste"/>
              <w:numPr>
                <w:ilvl w:val="0"/>
                <w:numId w:val="13"/>
              </w:numPr>
              <w:ind w:left="214" w:hanging="142"/>
              <w:jc w:val="both"/>
              <w:rPr>
                <w:rFonts w:cs="Times New Roman"/>
                <w:color w:val="000000" w:themeColor="text1"/>
              </w:rPr>
            </w:pPr>
            <w:r>
              <w:rPr>
                <w:rFonts w:cs="Times New Roman"/>
                <w:color w:val="000000" w:themeColor="text1"/>
              </w:rPr>
              <w:t>P</w:t>
            </w:r>
            <w:r w:rsidRPr="00376962">
              <w:rPr>
                <w:rFonts w:cs="Times New Roman"/>
                <w:color w:val="000000" w:themeColor="text1"/>
              </w:rPr>
              <w:t xml:space="preserve">rocès-verbal de l’assemblée générale </w:t>
            </w:r>
          </w:p>
          <w:p w:rsidR="00EC5469" w:rsidRPr="008D3333" w:rsidRDefault="00EC5469" w:rsidP="007C3CC6">
            <w:pPr>
              <w:contextualSpacing/>
              <w:jc w:val="both"/>
              <w:rPr>
                <w:rFonts w:cs="Times New Roman"/>
                <w:color w:val="000000" w:themeColor="text1"/>
              </w:rPr>
            </w:pPr>
          </w:p>
        </w:tc>
      </w:tr>
      <w:tr w:rsidR="00EC5469" w:rsidRPr="00376962" w:rsidTr="00D37171">
        <w:tc>
          <w:tcPr>
            <w:tcW w:w="1725" w:type="dxa"/>
          </w:tcPr>
          <w:p w:rsidR="00EC5469" w:rsidRPr="00376962" w:rsidRDefault="00EC5469" w:rsidP="007C3CC6">
            <w:pPr>
              <w:jc w:val="both"/>
              <w:rPr>
                <w:rFonts w:cs="Times New Roman"/>
                <w:color w:val="000000" w:themeColor="text1"/>
              </w:rPr>
            </w:pPr>
            <w:r w:rsidRPr="00376962">
              <w:rPr>
                <w:rFonts w:cs="Times New Roman"/>
                <w:color w:val="000000" w:themeColor="text1"/>
              </w:rPr>
              <w:t>Demande d’extension</w:t>
            </w:r>
          </w:p>
        </w:tc>
        <w:tc>
          <w:tcPr>
            <w:tcW w:w="7597" w:type="dxa"/>
          </w:tcPr>
          <w:p w:rsidR="00EC5469" w:rsidRPr="00376962" w:rsidRDefault="00EC5469" w:rsidP="007C3CC6">
            <w:pPr>
              <w:pStyle w:val="Paragraphedeliste"/>
              <w:numPr>
                <w:ilvl w:val="0"/>
                <w:numId w:val="13"/>
              </w:numPr>
              <w:ind w:left="214" w:hanging="142"/>
              <w:jc w:val="both"/>
              <w:rPr>
                <w:rFonts w:cs="Times New Roman"/>
                <w:color w:val="000000" w:themeColor="text1"/>
              </w:rPr>
            </w:pPr>
            <w:r>
              <w:rPr>
                <w:rFonts w:cs="Times New Roman"/>
                <w:color w:val="000000" w:themeColor="text1"/>
              </w:rPr>
              <w:t>N</w:t>
            </w:r>
            <w:r w:rsidRPr="00376962">
              <w:rPr>
                <w:rFonts w:cs="Times New Roman"/>
                <w:color w:val="000000" w:themeColor="text1"/>
              </w:rPr>
              <w:t>ote justifiant la demande d’</w:t>
            </w:r>
            <w:r>
              <w:rPr>
                <w:rFonts w:cs="Times New Roman"/>
                <w:color w:val="000000" w:themeColor="text1"/>
              </w:rPr>
              <w:t>extension d’</w:t>
            </w:r>
            <w:r w:rsidR="001D2EB3">
              <w:rPr>
                <w:rFonts w:cs="Times New Roman"/>
                <w:color w:val="000000" w:themeColor="text1"/>
              </w:rPr>
              <w:t>a</w:t>
            </w:r>
            <w:r w:rsidR="00E064B8">
              <w:rPr>
                <w:rFonts w:cs="Times New Roman"/>
                <w:color w:val="000000" w:themeColor="text1"/>
              </w:rPr>
              <w:t>utorisation</w:t>
            </w:r>
            <w:r w:rsidRPr="00376962">
              <w:rPr>
                <w:rFonts w:cs="Times New Roman"/>
                <w:color w:val="000000" w:themeColor="text1"/>
              </w:rPr>
              <w:t xml:space="preserve"> pour un nouvel établissement</w:t>
            </w:r>
            <w:r>
              <w:rPr>
                <w:rFonts w:cs="Times New Roman"/>
                <w:color w:val="000000" w:themeColor="text1"/>
              </w:rPr>
              <w:t>, une nouvelle activité</w:t>
            </w:r>
            <w:r w:rsidRPr="00376962">
              <w:rPr>
                <w:rFonts w:cs="Times New Roman"/>
                <w:color w:val="000000" w:themeColor="text1"/>
              </w:rPr>
              <w:t xml:space="preserve"> ou une nouvelle catégorie</w:t>
            </w:r>
          </w:p>
        </w:tc>
      </w:tr>
    </w:tbl>
    <w:p w:rsidR="00EC5469" w:rsidRDefault="00EC5469" w:rsidP="007C3CC6">
      <w:pPr>
        <w:spacing w:after="0" w:line="240" w:lineRule="auto"/>
        <w:jc w:val="both"/>
      </w:pPr>
    </w:p>
    <w:p w:rsidR="001D2EB3" w:rsidRDefault="00C6349A" w:rsidP="007C3CC6">
      <w:pPr>
        <w:jc w:val="both"/>
      </w:pPr>
      <w:r>
        <w:t>Toute pièce complémentaire utile à l’instruction de la demande d’autorisation ou de la demande de modification d’autorisation.</w:t>
      </w:r>
    </w:p>
    <w:p w:rsidR="00CD30D7" w:rsidRDefault="00CD30D7" w:rsidP="007C3CC6">
      <w:pPr>
        <w:spacing w:after="0" w:line="240" w:lineRule="auto"/>
        <w:jc w:val="both"/>
      </w:pPr>
    </w:p>
    <w:p w:rsidR="00CD30D7" w:rsidRDefault="00CD30D7" w:rsidP="007C3CC6">
      <w:pPr>
        <w:spacing w:after="0" w:line="240" w:lineRule="auto"/>
        <w:jc w:val="both"/>
      </w:pPr>
    </w:p>
    <w:p w:rsidR="00CD30D7" w:rsidRDefault="00CD30D7" w:rsidP="007C3CC6">
      <w:pPr>
        <w:spacing w:after="0" w:line="240" w:lineRule="auto"/>
        <w:jc w:val="both"/>
        <w:rPr>
          <w:b/>
          <w:u w:val="single"/>
        </w:rPr>
      </w:pPr>
      <w:r w:rsidRPr="00CD30D7">
        <w:rPr>
          <w:b/>
          <w:u w:val="single"/>
        </w:rPr>
        <w:t xml:space="preserve">Envoi de la demande d’autorisation A2 </w:t>
      </w:r>
    </w:p>
    <w:p w:rsidR="00E064B8" w:rsidRPr="00E064B8" w:rsidRDefault="00E064B8" w:rsidP="007C3CC6">
      <w:pPr>
        <w:spacing w:after="0" w:line="240" w:lineRule="auto"/>
        <w:jc w:val="both"/>
      </w:pPr>
      <w:r w:rsidRPr="00E064B8">
        <w:t>Le dossier complet est à envoyer par courrier papier ou dématérialisé aux adresses suivants</w:t>
      </w:r>
      <w:r w:rsidR="001D2EB3">
        <w:t> :</w:t>
      </w:r>
      <w:r w:rsidRPr="00E064B8">
        <w:t xml:space="preserve"> </w:t>
      </w:r>
    </w:p>
    <w:p w:rsidR="00CD30D7" w:rsidRPr="00E064B8" w:rsidRDefault="00CD30D7" w:rsidP="007C3CC6">
      <w:pPr>
        <w:spacing w:after="0" w:line="240" w:lineRule="auto"/>
        <w:jc w:val="both"/>
      </w:pPr>
    </w:p>
    <w:tbl>
      <w:tblPr>
        <w:tblStyle w:val="Grilledutableau"/>
        <w:tblpPr w:leftFromText="141" w:rightFromText="141" w:vertAnchor="text" w:horzAnchor="margin" w:tblpY="75"/>
        <w:tblW w:w="0" w:type="auto"/>
        <w:tblLook w:val="04A0" w:firstRow="1" w:lastRow="0" w:firstColumn="1" w:lastColumn="0" w:noHBand="0" w:noVBand="1"/>
      </w:tblPr>
      <w:tblGrid>
        <w:gridCol w:w="8544"/>
      </w:tblGrid>
      <w:tr w:rsidR="00CD30D7" w:rsidTr="001D2EB3">
        <w:trPr>
          <w:trHeight w:val="1646"/>
        </w:trPr>
        <w:tc>
          <w:tcPr>
            <w:tcW w:w="8544" w:type="dxa"/>
          </w:tcPr>
          <w:p w:rsidR="00CD30D7" w:rsidRPr="00FC4945" w:rsidRDefault="00CD30D7" w:rsidP="007C3CC6">
            <w:pPr>
              <w:jc w:val="both"/>
            </w:pPr>
            <w:r w:rsidRPr="00FC4945">
              <w:t>Ministère des Armées</w:t>
            </w:r>
          </w:p>
          <w:p w:rsidR="00CD30D7" w:rsidRPr="00FC4945" w:rsidRDefault="00CD30D7" w:rsidP="007C3CC6">
            <w:pPr>
              <w:jc w:val="both"/>
              <w:rPr>
                <w:b/>
              </w:rPr>
            </w:pPr>
            <w:r w:rsidRPr="00FC4945">
              <w:rPr>
                <w:b/>
              </w:rPr>
              <w:t>Direction générale de l’armement</w:t>
            </w:r>
          </w:p>
          <w:p w:rsidR="00CD30D7" w:rsidRPr="00FC4945" w:rsidRDefault="00CD30D7" w:rsidP="007C3CC6">
            <w:pPr>
              <w:jc w:val="both"/>
            </w:pPr>
            <w:r w:rsidRPr="00FC4945">
              <w:t>DI/SPEM/SDGPC/BRSI</w:t>
            </w:r>
          </w:p>
          <w:p w:rsidR="00CD30D7" w:rsidRPr="00FC4945" w:rsidRDefault="00CD30D7" w:rsidP="007C3CC6">
            <w:pPr>
              <w:jc w:val="both"/>
            </w:pPr>
            <w:r w:rsidRPr="00FC4945">
              <w:t>60, boulevard du Général Martial Valin – CS 21623</w:t>
            </w:r>
          </w:p>
          <w:p w:rsidR="00CD30D7" w:rsidRPr="00DB62F2" w:rsidRDefault="00CD30D7" w:rsidP="007C3CC6">
            <w:pPr>
              <w:spacing w:after="120"/>
              <w:jc w:val="both"/>
            </w:pPr>
            <w:r w:rsidRPr="00FC4945">
              <w:t>75509 Paris Cedex 15</w:t>
            </w:r>
          </w:p>
        </w:tc>
      </w:tr>
      <w:tr w:rsidR="00CD30D7" w:rsidRPr="00FB63F8" w:rsidTr="001D2EB3">
        <w:trPr>
          <w:trHeight w:val="516"/>
        </w:trPr>
        <w:tc>
          <w:tcPr>
            <w:tcW w:w="8544" w:type="dxa"/>
          </w:tcPr>
          <w:p w:rsidR="00CD30D7" w:rsidRDefault="00484394" w:rsidP="007C3CC6">
            <w:pPr>
              <w:jc w:val="both"/>
              <w:rPr>
                <w:rStyle w:val="Lienhypertexte"/>
              </w:rPr>
            </w:pPr>
            <w:hyperlink r:id="rId6" w:history="1">
              <w:r w:rsidR="00CD30D7" w:rsidRPr="00FC4945">
                <w:rPr>
                  <w:rStyle w:val="Lienhypertexte"/>
                </w:rPr>
                <w:t>dga-di.afci.fct@intradef.gouv.fr</w:t>
              </w:r>
            </w:hyperlink>
          </w:p>
          <w:p w:rsidR="00E064B8" w:rsidRPr="00FC4945" w:rsidRDefault="00E064B8" w:rsidP="007C3CC6">
            <w:pPr>
              <w:jc w:val="both"/>
            </w:pPr>
          </w:p>
        </w:tc>
      </w:tr>
    </w:tbl>
    <w:p w:rsidR="00CD30D7" w:rsidRDefault="00CD30D7" w:rsidP="007C3CC6">
      <w:pPr>
        <w:spacing w:after="0"/>
        <w:ind w:left="709"/>
        <w:jc w:val="both"/>
        <w:rPr>
          <w:rFonts w:cs="Times New Roman"/>
          <w:color w:val="000000" w:themeColor="text1"/>
        </w:rPr>
      </w:pPr>
    </w:p>
    <w:p w:rsidR="00CD30D7" w:rsidRPr="00376962" w:rsidRDefault="00CD30D7" w:rsidP="007C3CC6">
      <w:pPr>
        <w:spacing w:after="0"/>
        <w:jc w:val="both"/>
        <w:rPr>
          <w:rFonts w:cs="Times New Roman"/>
          <w:color w:val="000000" w:themeColor="text1"/>
        </w:rPr>
      </w:pPr>
    </w:p>
    <w:p w:rsidR="00CD30D7" w:rsidRPr="00DB62F2" w:rsidRDefault="00CD30D7" w:rsidP="007C3CC6">
      <w:pPr>
        <w:spacing w:after="0"/>
        <w:jc w:val="both"/>
        <w:rPr>
          <w:rFonts w:cs="Times New Roman"/>
          <w:color w:val="000000" w:themeColor="text1"/>
          <w:highlight w:val="yellow"/>
        </w:rPr>
      </w:pPr>
    </w:p>
    <w:p w:rsidR="00CD30D7" w:rsidRPr="005F6643" w:rsidRDefault="00CD30D7" w:rsidP="005F6643">
      <w:pPr>
        <w:spacing w:after="0" w:line="240" w:lineRule="auto"/>
        <w:jc w:val="both"/>
      </w:pPr>
    </w:p>
    <w:sectPr w:rsidR="00CD30D7" w:rsidRPr="005F66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DD4"/>
    <w:multiLevelType w:val="hybridMultilevel"/>
    <w:tmpl w:val="9E827C8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0CB2C51"/>
    <w:multiLevelType w:val="multilevel"/>
    <w:tmpl w:val="A7A8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9009C0"/>
    <w:multiLevelType w:val="multilevel"/>
    <w:tmpl w:val="9730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50599"/>
    <w:multiLevelType w:val="hybridMultilevel"/>
    <w:tmpl w:val="05865EB4"/>
    <w:lvl w:ilvl="0" w:tplc="040C000D">
      <w:start w:val="1"/>
      <w:numFmt w:val="bullet"/>
      <w:lvlText w:val=""/>
      <w:lvlJc w:val="left"/>
      <w:pPr>
        <w:ind w:left="2988" w:hanging="360"/>
      </w:pPr>
      <w:rPr>
        <w:rFonts w:ascii="Wingdings" w:hAnsi="Wingdings"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4" w15:restartNumberingAfterBreak="0">
    <w:nsid w:val="0DEB1142"/>
    <w:multiLevelType w:val="hybridMultilevel"/>
    <w:tmpl w:val="9B021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AC6A85"/>
    <w:multiLevelType w:val="hybridMultilevel"/>
    <w:tmpl w:val="9AB23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DE0A1B"/>
    <w:multiLevelType w:val="hybridMultilevel"/>
    <w:tmpl w:val="99EECC60"/>
    <w:lvl w:ilvl="0" w:tplc="AEDEF9D8">
      <w:start w:val="1"/>
      <w:numFmt w:val="bullet"/>
      <w:lvlText w:val="-"/>
      <w:lvlJc w:val="left"/>
      <w:pPr>
        <w:ind w:left="720" w:hanging="360"/>
      </w:pPr>
      <w:rPr>
        <w:rFonts w:ascii="Calibri" w:eastAsiaTheme="minorHAnsi" w:hAnsi="Calibri" w:cstheme="minorBidi" w:hint="default"/>
      </w:rPr>
    </w:lvl>
    <w:lvl w:ilvl="1" w:tplc="AEDEF9D8">
      <w:start w:val="1"/>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1A648B"/>
    <w:multiLevelType w:val="hybridMultilevel"/>
    <w:tmpl w:val="1ACA40BA"/>
    <w:lvl w:ilvl="0" w:tplc="D6F0689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9A7A02"/>
    <w:multiLevelType w:val="hybridMultilevel"/>
    <w:tmpl w:val="E64CB822"/>
    <w:lvl w:ilvl="0" w:tplc="040C000B">
      <w:start w:val="1"/>
      <w:numFmt w:val="bullet"/>
      <w:lvlText w:val=""/>
      <w:lvlJc w:val="left"/>
      <w:pPr>
        <w:ind w:left="1620" w:hanging="360"/>
      </w:pPr>
      <w:rPr>
        <w:rFonts w:ascii="Wingdings" w:hAnsi="Wingdings"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9" w15:restartNumberingAfterBreak="0">
    <w:nsid w:val="25875EBA"/>
    <w:multiLevelType w:val="multilevel"/>
    <w:tmpl w:val="90D0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B0465E"/>
    <w:multiLevelType w:val="multilevel"/>
    <w:tmpl w:val="8832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054959"/>
    <w:multiLevelType w:val="hybridMultilevel"/>
    <w:tmpl w:val="FA7E587A"/>
    <w:lvl w:ilvl="0" w:tplc="D9BA741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3C6994"/>
    <w:multiLevelType w:val="multilevel"/>
    <w:tmpl w:val="64DA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842578"/>
    <w:multiLevelType w:val="multilevel"/>
    <w:tmpl w:val="3D5C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0E7DF5"/>
    <w:multiLevelType w:val="multilevel"/>
    <w:tmpl w:val="D6B2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1E5B11"/>
    <w:multiLevelType w:val="multilevel"/>
    <w:tmpl w:val="E9B8CE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89219E"/>
    <w:multiLevelType w:val="multilevel"/>
    <w:tmpl w:val="D676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B828D7"/>
    <w:multiLevelType w:val="hybridMultilevel"/>
    <w:tmpl w:val="363E7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F5301D"/>
    <w:multiLevelType w:val="hybridMultilevel"/>
    <w:tmpl w:val="9B34AD0C"/>
    <w:lvl w:ilvl="0" w:tplc="AC20E6F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482177"/>
    <w:multiLevelType w:val="multilevel"/>
    <w:tmpl w:val="1F9C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6F4640"/>
    <w:multiLevelType w:val="multilevel"/>
    <w:tmpl w:val="7890D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CE6F36"/>
    <w:multiLevelType w:val="multilevel"/>
    <w:tmpl w:val="7A102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B81EF3"/>
    <w:multiLevelType w:val="multilevel"/>
    <w:tmpl w:val="FC24B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094840"/>
    <w:multiLevelType w:val="multilevel"/>
    <w:tmpl w:val="F566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7D488D"/>
    <w:multiLevelType w:val="multilevel"/>
    <w:tmpl w:val="F75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375EDC"/>
    <w:multiLevelType w:val="multilevel"/>
    <w:tmpl w:val="EAEE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AD43DB"/>
    <w:multiLevelType w:val="multilevel"/>
    <w:tmpl w:val="C9A6A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AA0454"/>
    <w:multiLevelType w:val="multilevel"/>
    <w:tmpl w:val="551A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51E43"/>
    <w:multiLevelType w:val="multilevel"/>
    <w:tmpl w:val="4E6E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2819D6"/>
    <w:multiLevelType w:val="hybridMultilevel"/>
    <w:tmpl w:val="C8F015D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15:restartNumberingAfterBreak="0">
    <w:nsid w:val="66175C04"/>
    <w:multiLevelType w:val="hybridMultilevel"/>
    <w:tmpl w:val="8BB8ABBE"/>
    <w:lvl w:ilvl="0" w:tplc="8236B0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931085"/>
    <w:multiLevelType w:val="hybridMultilevel"/>
    <w:tmpl w:val="FC2E1E4A"/>
    <w:lvl w:ilvl="0" w:tplc="06A8D58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6D0E4D"/>
    <w:multiLevelType w:val="multilevel"/>
    <w:tmpl w:val="B1CC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9726F4"/>
    <w:multiLevelType w:val="multilevel"/>
    <w:tmpl w:val="3E8C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6E3D55"/>
    <w:multiLevelType w:val="multilevel"/>
    <w:tmpl w:val="33A8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2406E3"/>
    <w:multiLevelType w:val="multilevel"/>
    <w:tmpl w:val="CCFA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DB6751"/>
    <w:multiLevelType w:val="hybridMultilevel"/>
    <w:tmpl w:val="C9EE4C52"/>
    <w:lvl w:ilvl="0" w:tplc="040C0019">
      <w:start w:val="1"/>
      <w:numFmt w:val="lowerLetter"/>
      <w:lvlText w:val="%1."/>
      <w:lvlJc w:val="left"/>
      <w:pPr>
        <w:ind w:left="2988" w:hanging="360"/>
      </w:pPr>
      <w:rPr>
        <w:rFonts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7" w15:restartNumberingAfterBreak="0">
    <w:nsid w:val="7F216BE4"/>
    <w:multiLevelType w:val="hybridMultilevel"/>
    <w:tmpl w:val="2A2C3F50"/>
    <w:lvl w:ilvl="0" w:tplc="30BAD41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11"/>
  </w:num>
  <w:num w:numId="4">
    <w:abstractNumId w:val="7"/>
  </w:num>
  <w:num w:numId="5">
    <w:abstractNumId w:val="17"/>
  </w:num>
  <w:num w:numId="6">
    <w:abstractNumId w:val="37"/>
  </w:num>
  <w:num w:numId="7">
    <w:abstractNumId w:val="4"/>
  </w:num>
  <w:num w:numId="8">
    <w:abstractNumId w:val="16"/>
  </w:num>
  <w:num w:numId="9">
    <w:abstractNumId w:val="23"/>
  </w:num>
  <w:num w:numId="10">
    <w:abstractNumId w:val="10"/>
  </w:num>
  <w:num w:numId="11">
    <w:abstractNumId w:val="15"/>
  </w:num>
  <w:num w:numId="12">
    <w:abstractNumId w:val="29"/>
  </w:num>
  <w:num w:numId="13">
    <w:abstractNumId w:val="5"/>
  </w:num>
  <w:num w:numId="14">
    <w:abstractNumId w:val="33"/>
    <w:lvlOverride w:ilvl="0">
      <w:startOverride w:val="1"/>
    </w:lvlOverride>
  </w:num>
  <w:num w:numId="15">
    <w:abstractNumId w:val="2"/>
  </w:num>
  <w:num w:numId="16">
    <w:abstractNumId w:val="22"/>
    <w:lvlOverride w:ilvl="0">
      <w:startOverride w:val="2"/>
    </w:lvlOverride>
  </w:num>
  <w:num w:numId="17">
    <w:abstractNumId w:val="32"/>
  </w:num>
  <w:num w:numId="18">
    <w:abstractNumId w:val="14"/>
  </w:num>
  <w:num w:numId="19">
    <w:abstractNumId w:val="28"/>
  </w:num>
  <w:num w:numId="20">
    <w:abstractNumId w:val="25"/>
  </w:num>
  <w:num w:numId="21">
    <w:abstractNumId w:val="9"/>
  </w:num>
  <w:num w:numId="22">
    <w:abstractNumId w:val="35"/>
  </w:num>
  <w:num w:numId="23">
    <w:abstractNumId w:val="34"/>
  </w:num>
  <w:num w:numId="24">
    <w:abstractNumId w:val="21"/>
  </w:num>
  <w:num w:numId="25">
    <w:abstractNumId w:val="1"/>
  </w:num>
  <w:num w:numId="26">
    <w:abstractNumId w:val="24"/>
  </w:num>
  <w:num w:numId="27">
    <w:abstractNumId w:val="13"/>
  </w:num>
  <w:num w:numId="28">
    <w:abstractNumId w:val="27"/>
  </w:num>
  <w:num w:numId="29">
    <w:abstractNumId w:val="12"/>
  </w:num>
  <w:num w:numId="30">
    <w:abstractNumId w:val="19"/>
  </w:num>
  <w:num w:numId="31">
    <w:abstractNumId w:val="30"/>
  </w:num>
  <w:num w:numId="32">
    <w:abstractNumId w:val="3"/>
  </w:num>
  <w:num w:numId="33">
    <w:abstractNumId w:val="6"/>
  </w:num>
  <w:num w:numId="34">
    <w:abstractNumId w:val="36"/>
  </w:num>
  <w:num w:numId="35">
    <w:abstractNumId w:val="0"/>
  </w:num>
  <w:num w:numId="36">
    <w:abstractNumId w:val="8"/>
  </w:num>
  <w:num w:numId="37">
    <w:abstractNumId w:val="2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0B"/>
    <w:rsid w:val="00004708"/>
    <w:rsid w:val="00012F3A"/>
    <w:rsid w:val="00013AB2"/>
    <w:rsid w:val="000140DF"/>
    <w:rsid w:val="00034BEF"/>
    <w:rsid w:val="000377D1"/>
    <w:rsid w:val="00041724"/>
    <w:rsid w:val="000607C8"/>
    <w:rsid w:val="00073BAB"/>
    <w:rsid w:val="00091197"/>
    <w:rsid w:val="00091692"/>
    <w:rsid w:val="00093480"/>
    <w:rsid w:val="00095DBF"/>
    <w:rsid w:val="000C01C0"/>
    <w:rsid w:val="000D09A1"/>
    <w:rsid w:val="000E1196"/>
    <w:rsid w:val="00105FF2"/>
    <w:rsid w:val="0010648C"/>
    <w:rsid w:val="001154E1"/>
    <w:rsid w:val="001167F8"/>
    <w:rsid w:val="00124EE5"/>
    <w:rsid w:val="00142F86"/>
    <w:rsid w:val="00183D75"/>
    <w:rsid w:val="001845B4"/>
    <w:rsid w:val="001874BE"/>
    <w:rsid w:val="001A45AF"/>
    <w:rsid w:val="001B5501"/>
    <w:rsid w:val="001C77A9"/>
    <w:rsid w:val="001D2EB3"/>
    <w:rsid w:val="001E1F05"/>
    <w:rsid w:val="001E6AD5"/>
    <w:rsid w:val="001F049C"/>
    <w:rsid w:val="001F7D50"/>
    <w:rsid w:val="00220A69"/>
    <w:rsid w:val="00227B32"/>
    <w:rsid w:val="0024177C"/>
    <w:rsid w:val="00251437"/>
    <w:rsid w:val="00254F30"/>
    <w:rsid w:val="00263871"/>
    <w:rsid w:val="00265011"/>
    <w:rsid w:val="002901A4"/>
    <w:rsid w:val="002A08BA"/>
    <w:rsid w:val="002A29ED"/>
    <w:rsid w:val="002B6B46"/>
    <w:rsid w:val="002C2C82"/>
    <w:rsid w:val="002C71B9"/>
    <w:rsid w:val="002D4EDB"/>
    <w:rsid w:val="002F24EB"/>
    <w:rsid w:val="002F31D4"/>
    <w:rsid w:val="00317F44"/>
    <w:rsid w:val="0033160F"/>
    <w:rsid w:val="003437E8"/>
    <w:rsid w:val="003534A0"/>
    <w:rsid w:val="003663E0"/>
    <w:rsid w:val="00375957"/>
    <w:rsid w:val="0038122B"/>
    <w:rsid w:val="00397800"/>
    <w:rsid w:val="003B502F"/>
    <w:rsid w:val="003B64D0"/>
    <w:rsid w:val="003B798B"/>
    <w:rsid w:val="003E3232"/>
    <w:rsid w:val="003E5C1A"/>
    <w:rsid w:val="003E670F"/>
    <w:rsid w:val="003E726E"/>
    <w:rsid w:val="00401A0F"/>
    <w:rsid w:val="00411C42"/>
    <w:rsid w:val="0041556B"/>
    <w:rsid w:val="00422609"/>
    <w:rsid w:val="0042526B"/>
    <w:rsid w:val="004260E7"/>
    <w:rsid w:val="0042719C"/>
    <w:rsid w:val="00430C8A"/>
    <w:rsid w:val="0044605C"/>
    <w:rsid w:val="0046008F"/>
    <w:rsid w:val="0046317B"/>
    <w:rsid w:val="004748A3"/>
    <w:rsid w:val="00484394"/>
    <w:rsid w:val="00490B0F"/>
    <w:rsid w:val="004947A0"/>
    <w:rsid w:val="00494E7B"/>
    <w:rsid w:val="004A1983"/>
    <w:rsid w:val="004A38C4"/>
    <w:rsid w:val="004A5A8C"/>
    <w:rsid w:val="004A7C6D"/>
    <w:rsid w:val="004C368B"/>
    <w:rsid w:val="004C4E88"/>
    <w:rsid w:val="004E2046"/>
    <w:rsid w:val="004E4DDE"/>
    <w:rsid w:val="0050007B"/>
    <w:rsid w:val="005048D5"/>
    <w:rsid w:val="00513653"/>
    <w:rsid w:val="00524AA1"/>
    <w:rsid w:val="00531731"/>
    <w:rsid w:val="005457D2"/>
    <w:rsid w:val="005632A6"/>
    <w:rsid w:val="0058181E"/>
    <w:rsid w:val="0059080B"/>
    <w:rsid w:val="00593C9F"/>
    <w:rsid w:val="00594747"/>
    <w:rsid w:val="0059679A"/>
    <w:rsid w:val="005C4D06"/>
    <w:rsid w:val="005E4F2D"/>
    <w:rsid w:val="005F5AA0"/>
    <w:rsid w:val="005F6643"/>
    <w:rsid w:val="00603204"/>
    <w:rsid w:val="0061034B"/>
    <w:rsid w:val="0061180B"/>
    <w:rsid w:val="00627AEF"/>
    <w:rsid w:val="00640C14"/>
    <w:rsid w:val="0064655A"/>
    <w:rsid w:val="0065360B"/>
    <w:rsid w:val="00663010"/>
    <w:rsid w:val="006650D5"/>
    <w:rsid w:val="006650E5"/>
    <w:rsid w:val="006762A7"/>
    <w:rsid w:val="00681DBB"/>
    <w:rsid w:val="006925CC"/>
    <w:rsid w:val="00692990"/>
    <w:rsid w:val="006A1D6C"/>
    <w:rsid w:val="006B01A4"/>
    <w:rsid w:val="006B1512"/>
    <w:rsid w:val="006C3062"/>
    <w:rsid w:val="006C4726"/>
    <w:rsid w:val="006C5788"/>
    <w:rsid w:val="006C5A2D"/>
    <w:rsid w:val="006D593E"/>
    <w:rsid w:val="006E0FA4"/>
    <w:rsid w:val="006F1463"/>
    <w:rsid w:val="007073F3"/>
    <w:rsid w:val="00710BDA"/>
    <w:rsid w:val="00712349"/>
    <w:rsid w:val="00713980"/>
    <w:rsid w:val="00720CEB"/>
    <w:rsid w:val="0072148A"/>
    <w:rsid w:val="00722B47"/>
    <w:rsid w:val="00741A98"/>
    <w:rsid w:val="007605EE"/>
    <w:rsid w:val="00761DCB"/>
    <w:rsid w:val="00765AFF"/>
    <w:rsid w:val="00770A48"/>
    <w:rsid w:val="00771CC7"/>
    <w:rsid w:val="007747C5"/>
    <w:rsid w:val="0078427E"/>
    <w:rsid w:val="007879AE"/>
    <w:rsid w:val="00791FD8"/>
    <w:rsid w:val="007924F4"/>
    <w:rsid w:val="0079538A"/>
    <w:rsid w:val="007A53C6"/>
    <w:rsid w:val="007B6B46"/>
    <w:rsid w:val="007C3CC6"/>
    <w:rsid w:val="007F663D"/>
    <w:rsid w:val="008001B2"/>
    <w:rsid w:val="00827D53"/>
    <w:rsid w:val="008319BE"/>
    <w:rsid w:val="0083228A"/>
    <w:rsid w:val="00837B6E"/>
    <w:rsid w:val="00844C0D"/>
    <w:rsid w:val="008535BD"/>
    <w:rsid w:val="00856B89"/>
    <w:rsid w:val="0086049C"/>
    <w:rsid w:val="008622C9"/>
    <w:rsid w:val="0086617E"/>
    <w:rsid w:val="00866DF8"/>
    <w:rsid w:val="00887F4E"/>
    <w:rsid w:val="008B257E"/>
    <w:rsid w:val="008B5C4B"/>
    <w:rsid w:val="008C0654"/>
    <w:rsid w:val="008C655F"/>
    <w:rsid w:val="008C7A8D"/>
    <w:rsid w:val="008E3298"/>
    <w:rsid w:val="008E6618"/>
    <w:rsid w:val="008F27C5"/>
    <w:rsid w:val="008F397D"/>
    <w:rsid w:val="00902AF3"/>
    <w:rsid w:val="00906817"/>
    <w:rsid w:val="00964C8E"/>
    <w:rsid w:val="009747D8"/>
    <w:rsid w:val="00993429"/>
    <w:rsid w:val="009948B6"/>
    <w:rsid w:val="009A05AE"/>
    <w:rsid w:val="009A1E36"/>
    <w:rsid w:val="009C02FF"/>
    <w:rsid w:val="009C2F50"/>
    <w:rsid w:val="009C70D7"/>
    <w:rsid w:val="009E5462"/>
    <w:rsid w:val="009F1A2F"/>
    <w:rsid w:val="009F2C88"/>
    <w:rsid w:val="009F5593"/>
    <w:rsid w:val="009F5998"/>
    <w:rsid w:val="009F60FF"/>
    <w:rsid w:val="00A01A02"/>
    <w:rsid w:val="00A045AA"/>
    <w:rsid w:val="00A262FD"/>
    <w:rsid w:val="00A64F41"/>
    <w:rsid w:val="00A7641A"/>
    <w:rsid w:val="00A76E1B"/>
    <w:rsid w:val="00A875D5"/>
    <w:rsid w:val="00A90413"/>
    <w:rsid w:val="00A96D15"/>
    <w:rsid w:val="00AB291E"/>
    <w:rsid w:val="00AB53DD"/>
    <w:rsid w:val="00AF2576"/>
    <w:rsid w:val="00B24957"/>
    <w:rsid w:val="00B85686"/>
    <w:rsid w:val="00BB12BB"/>
    <w:rsid w:val="00BC70E4"/>
    <w:rsid w:val="00BE2F38"/>
    <w:rsid w:val="00C0728D"/>
    <w:rsid w:val="00C36C52"/>
    <w:rsid w:val="00C6240E"/>
    <w:rsid w:val="00C6349A"/>
    <w:rsid w:val="00C63A96"/>
    <w:rsid w:val="00C63D86"/>
    <w:rsid w:val="00C64F2C"/>
    <w:rsid w:val="00C93FB1"/>
    <w:rsid w:val="00CA42F2"/>
    <w:rsid w:val="00CD30D7"/>
    <w:rsid w:val="00CD4AB2"/>
    <w:rsid w:val="00CE3D7B"/>
    <w:rsid w:val="00CE6EAB"/>
    <w:rsid w:val="00CE6EB7"/>
    <w:rsid w:val="00CE70AE"/>
    <w:rsid w:val="00CF74D1"/>
    <w:rsid w:val="00D219F3"/>
    <w:rsid w:val="00D2342F"/>
    <w:rsid w:val="00D32E57"/>
    <w:rsid w:val="00D55A4D"/>
    <w:rsid w:val="00D619A2"/>
    <w:rsid w:val="00D6392E"/>
    <w:rsid w:val="00D7716A"/>
    <w:rsid w:val="00D85A49"/>
    <w:rsid w:val="00DA07E0"/>
    <w:rsid w:val="00DC0573"/>
    <w:rsid w:val="00DE479B"/>
    <w:rsid w:val="00E0072B"/>
    <w:rsid w:val="00E064B8"/>
    <w:rsid w:val="00E1365C"/>
    <w:rsid w:val="00E256CD"/>
    <w:rsid w:val="00E47BEB"/>
    <w:rsid w:val="00E50D88"/>
    <w:rsid w:val="00E556AA"/>
    <w:rsid w:val="00E90507"/>
    <w:rsid w:val="00E91799"/>
    <w:rsid w:val="00E9213F"/>
    <w:rsid w:val="00E97DFF"/>
    <w:rsid w:val="00EA2459"/>
    <w:rsid w:val="00EA49C4"/>
    <w:rsid w:val="00EA6BDE"/>
    <w:rsid w:val="00EB37A9"/>
    <w:rsid w:val="00EB40D8"/>
    <w:rsid w:val="00EC3EF6"/>
    <w:rsid w:val="00EC41A9"/>
    <w:rsid w:val="00EC5469"/>
    <w:rsid w:val="00EC5B15"/>
    <w:rsid w:val="00ED034A"/>
    <w:rsid w:val="00ED20F8"/>
    <w:rsid w:val="00EE6C07"/>
    <w:rsid w:val="00EF3ABD"/>
    <w:rsid w:val="00EF4F33"/>
    <w:rsid w:val="00F0181A"/>
    <w:rsid w:val="00F31638"/>
    <w:rsid w:val="00F34068"/>
    <w:rsid w:val="00F42ED1"/>
    <w:rsid w:val="00F46D6E"/>
    <w:rsid w:val="00F52EFE"/>
    <w:rsid w:val="00F55F78"/>
    <w:rsid w:val="00F61E82"/>
    <w:rsid w:val="00F723FF"/>
    <w:rsid w:val="00F7711D"/>
    <w:rsid w:val="00F81A29"/>
    <w:rsid w:val="00F843EF"/>
    <w:rsid w:val="00F90350"/>
    <w:rsid w:val="00FA0543"/>
    <w:rsid w:val="00FB3309"/>
    <w:rsid w:val="00FB4E1E"/>
    <w:rsid w:val="00FC6198"/>
    <w:rsid w:val="00FD7225"/>
    <w:rsid w:val="00FD7CC8"/>
    <w:rsid w:val="00FF7C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DFC63-9EA3-46DC-8C13-FFC0C6B2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4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502F"/>
    <w:pPr>
      <w:ind w:left="720"/>
      <w:contextualSpacing/>
    </w:pPr>
  </w:style>
  <w:style w:type="character" w:styleId="Lienhypertexte">
    <w:name w:val="Hyperlink"/>
    <w:basedOn w:val="Policepardfaut"/>
    <w:uiPriority w:val="99"/>
    <w:unhideWhenUsed/>
    <w:rsid w:val="00ED034A"/>
    <w:rPr>
      <w:color w:val="0000FF" w:themeColor="hyperlink"/>
      <w:u w:val="single"/>
    </w:rPr>
  </w:style>
  <w:style w:type="character" w:styleId="Marquedecommentaire">
    <w:name w:val="annotation reference"/>
    <w:basedOn w:val="Policepardfaut"/>
    <w:uiPriority w:val="99"/>
    <w:semiHidden/>
    <w:unhideWhenUsed/>
    <w:rsid w:val="006A1D6C"/>
    <w:rPr>
      <w:sz w:val="16"/>
      <w:szCs w:val="16"/>
    </w:rPr>
  </w:style>
  <w:style w:type="paragraph" w:styleId="Commentaire">
    <w:name w:val="annotation text"/>
    <w:basedOn w:val="Normal"/>
    <w:link w:val="CommentaireCar"/>
    <w:uiPriority w:val="99"/>
    <w:semiHidden/>
    <w:unhideWhenUsed/>
    <w:rsid w:val="006A1D6C"/>
    <w:pPr>
      <w:spacing w:line="240" w:lineRule="auto"/>
    </w:pPr>
    <w:rPr>
      <w:sz w:val="20"/>
      <w:szCs w:val="20"/>
    </w:rPr>
  </w:style>
  <w:style w:type="character" w:customStyle="1" w:styleId="CommentaireCar">
    <w:name w:val="Commentaire Car"/>
    <w:basedOn w:val="Policepardfaut"/>
    <w:link w:val="Commentaire"/>
    <w:uiPriority w:val="99"/>
    <w:semiHidden/>
    <w:rsid w:val="006A1D6C"/>
    <w:rPr>
      <w:sz w:val="20"/>
      <w:szCs w:val="20"/>
    </w:rPr>
  </w:style>
  <w:style w:type="paragraph" w:styleId="Objetducommentaire">
    <w:name w:val="annotation subject"/>
    <w:basedOn w:val="Commentaire"/>
    <w:next w:val="Commentaire"/>
    <w:link w:val="ObjetducommentaireCar"/>
    <w:uiPriority w:val="99"/>
    <w:semiHidden/>
    <w:unhideWhenUsed/>
    <w:rsid w:val="006A1D6C"/>
    <w:rPr>
      <w:b/>
      <w:bCs/>
    </w:rPr>
  </w:style>
  <w:style w:type="character" w:customStyle="1" w:styleId="ObjetducommentaireCar">
    <w:name w:val="Objet du commentaire Car"/>
    <w:basedOn w:val="CommentaireCar"/>
    <w:link w:val="Objetducommentaire"/>
    <w:uiPriority w:val="99"/>
    <w:semiHidden/>
    <w:rsid w:val="006A1D6C"/>
    <w:rPr>
      <w:b/>
      <w:bCs/>
      <w:sz w:val="20"/>
      <w:szCs w:val="20"/>
    </w:rPr>
  </w:style>
  <w:style w:type="paragraph" w:styleId="Rvision">
    <w:name w:val="Revision"/>
    <w:hidden/>
    <w:uiPriority w:val="99"/>
    <w:semiHidden/>
    <w:rsid w:val="006A1D6C"/>
    <w:pPr>
      <w:spacing w:after="0" w:line="240" w:lineRule="auto"/>
    </w:pPr>
  </w:style>
  <w:style w:type="paragraph" w:styleId="Textedebulles">
    <w:name w:val="Balloon Text"/>
    <w:basedOn w:val="Normal"/>
    <w:link w:val="TextedebullesCar"/>
    <w:uiPriority w:val="99"/>
    <w:semiHidden/>
    <w:unhideWhenUsed/>
    <w:rsid w:val="006A1D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1D6C"/>
    <w:rPr>
      <w:rFonts w:ascii="Tahoma" w:hAnsi="Tahoma" w:cs="Tahoma"/>
      <w:sz w:val="16"/>
      <w:szCs w:val="16"/>
    </w:rPr>
  </w:style>
  <w:style w:type="paragraph" w:styleId="NormalWeb">
    <w:name w:val="Normal (Web)"/>
    <w:basedOn w:val="Normal"/>
    <w:uiPriority w:val="99"/>
    <w:unhideWhenUsed/>
    <w:rsid w:val="00E97DFF"/>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E97DFF"/>
    <w:rPr>
      <w:b/>
      <w:bCs/>
    </w:rPr>
  </w:style>
  <w:style w:type="table" w:styleId="Grilledutableau">
    <w:name w:val="Table Grid"/>
    <w:basedOn w:val="TableauNormal"/>
    <w:uiPriority w:val="59"/>
    <w:rsid w:val="00CD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610135">
      <w:bodyDiv w:val="1"/>
      <w:marLeft w:val="0"/>
      <w:marRight w:val="0"/>
      <w:marTop w:val="0"/>
      <w:marBottom w:val="0"/>
      <w:divBdr>
        <w:top w:val="none" w:sz="0" w:space="0" w:color="auto"/>
        <w:left w:val="none" w:sz="0" w:space="0" w:color="auto"/>
        <w:bottom w:val="none" w:sz="0" w:space="0" w:color="auto"/>
        <w:right w:val="none" w:sz="0" w:space="0" w:color="auto"/>
      </w:divBdr>
    </w:div>
    <w:div w:id="592595287">
      <w:bodyDiv w:val="1"/>
      <w:marLeft w:val="0"/>
      <w:marRight w:val="0"/>
      <w:marTop w:val="0"/>
      <w:marBottom w:val="0"/>
      <w:divBdr>
        <w:top w:val="none" w:sz="0" w:space="0" w:color="auto"/>
        <w:left w:val="none" w:sz="0" w:space="0" w:color="auto"/>
        <w:bottom w:val="none" w:sz="0" w:space="0" w:color="auto"/>
        <w:right w:val="none" w:sz="0" w:space="0" w:color="auto"/>
      </w:divBdr>
    </w:div>
    <w:div w:id="1738821524">
      <w:bodyDiv w:val="1"/>
      <w:marLeft w:val="0"/>
      <w:marRight w:val="0"/>
      <w:marTop w:val="0"/>
      <w:marBottom w:val="0"/>
      <w:divBdr>
        <w:top w:val="none" w:sz="0" w:space="0" w:color="auto"/>
        <w:left w:val="none" w:sz="0" w:space="0" w:color="auto"/>
        <w:bottom w:val="none" w:sz="0" w:space="0" w:color="auto"/>
        <w:right w:val="none" w:sz="0" w:space="0" w:color="auto"/>
      </w:divBdr>
    </w:div>
    <w:div w:id="18218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ga-di.afci.fct@intradef.gouv.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BD0BD-25EE-457B-B2D8-7BE5FE78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1514</Words>
  <Characters>8333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 de la Défense</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PROUST Marie-Agnes ICT</dc:creator>
  <cp:lastModifiedBy>CHARLET Manuela SA CL NORMALE DEF</cp:lastModifiedBy>
  <cp:revision>6</cp:revision>
  <cp:lastPrinted>2019-09-05T07:42:00Z</cp:lastPrinted>
  <dcterms:created xsi:type="dcterms:W3CDTF">2019-05-14T09:30:00Z</dcterms:created>
  <dcterms:modified xsi:type="dcterms:W3CDTF">2020-02-11T10:02:00Z</dcterms:modified>
</cp:coreProperties>
</file>